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89CFB">
      <w:pPr>
        <w:keepNext w:val="0"/>
        <w:keepLines w:val="0"/>
        <w:pageBreakBefore w:val="0"/>
        <w:widowControl/>
        <w:kinsoku w:val="0"/>
        <w:overflowPunct/>
        <w:topLinePunct w:val="0"/>
        <w:autoSpaceDE w:val="0"/>
        <w:autoSpaceDN w:val="0"/>
        <w:bidi w:val="0"/>
        <w:adjustRightInd w:val="0"/>
        <w:snapToGrid w:val="0"/>
        <w:spacing w:line="578" w:lineRule="exact"/>
        <w:textAlignment w:val="baseline"/>
        <w:rPr>
          <w:rFonts w:hint="eastAsia" w:ascii="黑体" w:hAnsi="黑体" w:eastAsia="黑体" w:cs="黑体"/>
          <w:sz w:val="32"/>
          <w:szCs w:val="32"/>
          <w:lang w:val="en-US" w:eastAsia="zh-CN"/>
        </w:rPr>
      </w:pPr>
      <w:bookmarkStart w:id="0" w:name="_GoBack"/>
      <w:r>
        <w:rPr>
          <w:rFonts w:ascii="黑体" w:hAnsi="黑体" w:eastAsia="黑体" w:cs="黑体"/>
          <w:spacing w:val="-8"/>
          <w:sz w:val="32"/>
          <w:szCs w:val="32"/>
        </w:rPr>
        <w:t>附件</w:t>
      </w:r>
      <w:r>
        <w:rPr>
          <w:rFonts w:hint="eastAsia" w:ascii="黑体" w:hAnsi="黑体" w:eastAsia="黑体" w:cs="黑体"/>
          <w:spacing w:val="-8"/>
          <w:sz w:val="32"/>
          <w:szCs w:val="32"/>
          <w:lang w:val="en-US" w:eastAsia="zh-CN"/>
        </w:rPr>
        <w:t>1</w:t>
      </w:r>
    </w:p>
    <w:p w14:paraId="0C8B5A7D">
      <w:pPr>
        <w:keepNext w:val="0"/>
        <w:keepLines w:val="0"/>
        <w:pageBreakBefore w:val="0"/>
        <w:widowControl/>
        <w:kinsoku w:val="0"/>
        <w:overflowPunct/>
        <w:topLinePunct w:val="0"/>
        <w:autoSpaceDE w:val="0"/>
        <w:autoSpaceDN w:val="0"/>
        <w:bidi w:val="0"/>
        <w:adjustRightInd w:val="0"/>
        <w:snapToGrid w:val="0"/>
        <w:spacing w:line="578" w:lineRule="exact"/>
        <w:textAlignment w:val="baseline"/>
        <w:rPr>
          <w:rFonts w:ascii="Arial"/>
          <w:sz w:val="21"/>
        </w:rPr>
      </w:pPr>
    </w:p>
    <w:p w14:paraId="515E8629">
      <w:pPr>
        <w:keepNext w:val="0"/>
        <w:keepLines w:val="0"/>
        <w:pageBreakBefore w:val="0"/>
        <w:widowControl/>
        <w:kinsoku w:val="0"/>
        <w:overflowPunct/>
        <w:topLinePunct w:val="0"/>
        <w:autoSpaceDE w:val="0"/>
        <w:autoSpaceDN w:val="0"/>
        <w:bidi w:val="0"/>
        <w:adjustRightInd w:val="0"/>
        <w:snapToGrid w:val="0"/>
        <w:spacing w:line="578" w:lineRule="exact"/>
        <w:ind w:left="618"/>
        <w:jc w:val="center"/>
        <w:textAlignment w:val="baseline"/>
        <w:outlineLvl w:val="0"/>
        <w:rPr>
          <w:rFonts w:hint="eastAsia"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lang w:eastAsia="zh-CN"/>
        </w:rPr>
        <w:t>固阳县</w:t>
      </w:r>
      <w:r>
        <w:rPr>
          <w:rFonts w:hint="eastAsia" w:ascii="方正小标宋简体" w:hAnsi="方正小标宋简体" w:eastAsia="方正小标宋简体" w:cs="方正小标宋简体"/>
          <w:spacing w:val="9"/>
          <w:sz w:val="44"/>
          <w:szCs w:val="44"/>
        </w:rPr>
        <w:t>分布式光伏发电项目</w:t>
      </w:r>
    </w:p>
    <w:p w14:paraId="770289E5">
      <w:pPr>
        <w:keepNext w:val="0"/>
        <w:keepLines w:val="0"/>
        <w:pageBreakBefore w:val="0"/>
        <w:widowControl/>
        <w:kinsoku w:val="0"/>
        <w:overflowPunct/>
        <w:topLinePunct w:val="0"/>
        <w:autoSpaceDE w:val="0"/>
        <w:autoSpaceDN w:val="0"/>
        <w:bidi w:val="0"/>
        <w:adjustRightInd w:val="0"/>
        <w:snapToGrid w:val="0"/>
        <w:spacing w:line="578" w:lineRule="exact"/>
        <w:ind w:left="618"/>
        <w:jc w:val="center"/>
        <w:textAlignment w:val="baseline"/>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9"/>
          <w:sz w:val="44"/>
          <w:szCs w:val="44"/>
        </w:rPr>
        <w:t>审批服务指南</w:t>
      </w:r>
      <w:bookmarkEnd w:id="0"/>
    </w:p>
    <w:p w14:paraId="390360F9">
      <w:pPr>
        <w:keepNext w:val="0"/>
        <w:keepLines w:val="0"/>
        <w:pageBreakBefore w:val="0"/>
        <w:widowControl/>
        <w:kinsoku w:val="0"/>
        <w:overflowPunct/>
        <w:topLinePunct w:val="0"/>
        <w:autoSpaceDE w:val="0"/>
        <w:autoSpaceDN w:val="0"/>
        <w:bidi w:val="0"/>
        <w:adjustRightInd w:val="0"/>
        <w:snapToGrid w:val="0"/>
        <w:spacing w:line="578" w:lineRule="exact"/>
        <w:textAlignment w:val="baseline"/>
        <w:rPr>
          <w:rFonts w:ascii="Arial"/>
          <w:sz w:val="21"/>
        </w:rPr>
      </w:pPr>
    </w:p>
    <w:p w14:paraId="4729D1FE">
      <w:pPr>
        <w:pStyle w:val="2"/>
        <w:keepNext w:val="0"/>
        <w:keepLines w:val="0"/>
        <w:pageBreakBefore w:val="0"/>
        <w:widowControl/>
        <w:kinsoku w:val="0"/>
        <w:overflowPunct/>
        <w:topLinePunct w:val="0"/>
        <w:autoSpaceDE w:val="0"/>
        <w:autoSpaceDN w:val="0"/>
        <w:bidi w:val="0"/>
        <w:adjustRightInd w:val="0"/>
        <w:snapToGrid w:val="0"/>
        <w:spacing w:line="578" w:lineRule="exact"/>
        <w:ind w:left="87" w:firstLine="658"/>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为进一步规范</w:t>
      </w:r>
      <w:r>
        <w:rPr>
          <w:rFonts w:hint="eastAsia" w:ascii="仿宋_GB2312" w:hAnsi="仿宋_GB2312" w:eastAsia="仿宋_GB2312" w:cs="仿宋_GB2312"/>
          <w:spacing w:val="9"/>
          <w:sz w:val="32"/>
          <w:szCs w:val="32"/>
          <w:lang w:eastAsia="zh-CN"/>
        </w:rPr>
        <w:t>固阳县</w:t>
      </w:r>
      <w:r>
        <w:rPr>
          <w:rFonts w:hint="eastAsia" w:ascii="仿宋_GB2312" w:hAnsi="仿宋_GB2312" w:eastAsia="仿宋_GB2312" w:cs="仿宋_GB2312"/>
          <w:spacing w:val="9"/>
          <w:sz w:val="32"/>
          <w:szCs w:val="32"/>
        </w:rPr>
        <w:t>分布式光伏发电项目审批流程，提高办</w:t>
      </w:r>
      <w:r>
        <w:rPr>
          <w:rFonts w:hint="eastAsia" w:ascii="仿宋_GB2312" w:hAnsi="仿宋_GB2312" w:eastAsia="仿宋_GB2312" w:cs="仿宋_GB2312"/>
          <w:spacing w:val="10"/>
          <w:sz w:val="32"/>
          <w:szCs w:val="32"/>
        </w:rPr>
        <w:t>事效率，服务投资主体，推动分布式光伏产</w:t>
      </w:r>
      <w:r>
        <w:rPr>
          <w:rFonts w:hint="eastAsia" w:ascii="仿宋_GB2312" w:hAnsi="仿宋_GB2312" w:eastAsia="仿宋_GB2312" w:cs="仿宋_GB2312"/>
          <w:spacing w:val="9"/>
          <w:sz w:val="32"/>
          <w:szCs w:val="32"/>
        </w:rPr>
        <w:t>业高质量发展，根据《企业投资项目核准和备案管理办法》（国家发展和改革委员会</w:t>
      </w:r>
      <w:r>
        <w:rPr>
          <w:rFonts w:hint="eastAsia" w:ascii="仿宋_GB2312" w:hAnsi="仿宋_GB2312" w:eastAsia="仿宋_GB2312" w:cs="仿宋_GB2312"/>
          <w:spacing w:val="6"/>
          <w:sz w:val="32"/>
          <w:szCs w:val="32"/>
        </w:rPr>
        <w:t>令</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pacing w:val="6"/>
          <w:sz w:val="32"/>
          <w:szCs w:val="32"/>
        </w:rPr>
        <w:t>2017年第</w:t>
      </w:r>
      <w:r>
        <w:rPr>
          <w:rFonts w:hint="eastAsia" w:ascii="仿宋_GB2312" w:hAnsi="仿宋_GB2312" w:eastAsia="仿宋_GB2312" w:cs="仿宋_GB2312"/>
          <w:spacing w:val="-66"/>
          <w:sz w:val="32"/>
          <w:szCs w:val="32"/>
        </w:rPr>
        <w:t xml:space="preserve"> </w:t>
      </w:r>
      <w:r>
        <w:rPr>
          <w:rFonts w:hint="eastAsia" w:ascii="仿宋_GB2312" w:hAnsi="仿宋_GB2312" w:eastAsia="仿宋_GB2312" w:cs="仿宋_GB2312"/>
          <w:spacing w:val="6"/>
          <w:sz w:val="32"/>
          <w:szCs w:val="32"/>
        </w:rPr>
        <w:t>2号）、《国家能源局关于印发&lt;分布式光伏发电开</w:t>
      </w:r>
      <w:r>
        <w:rPr>
          <w:rFonts w:hint="eastAsia" w:ascii="仿宋_GB2312" w:hAnsi="仿宋_GB2312" w:eastAsia="仿宋_GB2312" w:cs="仿宋_GB2312"/>
          <w:spacing w:val="3"/>
          <w:sz w:val="32"/>
          <w:szCs w:val="32"/>
        </w:rPr>
        <w:t>发建设管理办法&gt;</w:t>
      </w:r>
      <w:r>
        <w:rPr>
          <w:rFonts w:hint="eastAsia" w:ascii="仿宋_GB2312" w:hAnsi="仿宋_GB2312" w:eastAsia="仿宋_GB2312" w:cs="仿宋_GB2312"/>
          <w:spacing w:val="-26"/>
          <w:sz w:val="32"/>
          <w:szCs w:val="32"/>
        </w:rPr>
        <w:t xml:space="preserve"> </w:t>
      </w:r>
      <w:r>
        <w:rPr>
          <w:rFonts w:hint="eastAsia" w:ascii="仿宋_GB2312" w:hAnsi="仿宋_GB2312" w:eastAsia="仿宋_GB2312" w:cs="仿宋_GB2312"/>
          <w:spacing w:val="3"/>
          <w:sz w:val="32"/>
          <w:szCs w:val="32"/>
        </w:rPr>
        <w:t>的通知》（国能发新能规〔2025〕7号）、《内</w:t>
      </w:r>
      <w:r>
        <w:rPr>
          <w:rFonts w:hint="eastAsia" w:ascii="仿宋_GB2312" w:hAnsi="仿宋_GB2312" w:eastAsia="仿宋_GB2312" w:cs="仿宋_GB2312"/>
          <w:spacing w:val="7"/>
          <w:sz w:val="32"/>
          <w:szCs w:val="32"/>
        </w:rPr>
        <w:t>蒙古自治区能源局关于印发&lt;</w:t>
      </w:r>
      <w:r>
        <w:rPr>
          <w:rFonts w:hint="eastAsia" w:ascii="仿宋_GB2312" w:hAnsi="仿宋_GB2312" w:eastAsia="仿宋_GB2312" w:cs="仿宋_GB2312"/>
          <w:spacing w:val="-5"/>
          <w:sz w:val="32"/>
          <w:szCs w:val="32"/>
        </w:rPr>
        <w:t xml:space="preserve"> </w:t>
      </w:r>
      <w:r>
        <w:rPr>
          <w:rFonts w:hint="eastAsia" w:ascii="仿宋_GB2312" w:hAnsi="仿宋_GB2312" w:eastAsia="仿宋_GB2312" w:cs="仿宋_GB2312"/>
          <w:spacing w:val="7"/>
          <w:sz w:val="32"/>
          <w:szCs w:val="32"/>
        </w:rPr>
        <w:t>内蒙古自治区分布式光伏项目开发</w:t>
      </w:r>
      <w:r>
        <w:rPr>
          <w:rFonts w:hint="eastAsia" w:ascii="仿宋_GB2312" w:hAnsi="仿宋_GB2312" w:eastAsia="仿宋_GB2312" w:cs="仿宋_GB2312"/>
          <w:spacing w:val="3"/>
          <w:sz w:val="32"/>
          <w:szCs w:val="32"/>
        </w:rPr>
        <w:t>建设管理实施细则&gt;</w:t>
      </w:r>
      <w:r>
        <w:rPr>
          <w:rFonts w:hint="eastAsia" w:ascii="仿宋_GB2312" w:hAnsi="仿宋_GB2312" w:eastAsia="仿宋_GB2312" w:cs="仿宋_GB2312"/>
          <w:spacing w:val="-26"/>
          <w:sz w:val="32"/>
          <w:szCs w:val="32"/>
        </w:rPr>
        <w:t xml:space="preserve"> </w:t>
      </w:r>
      <w:r>
        <w:rPr>
          <w:rFonts w:hint="eastAsia" w:ascii="仿宋_GB2312" w:hAnsi="仿宋_GB2312" w:eastAsia="仿宋_GB2312" w:cs="仿宋_GB2312"/>
          <w:spacing w:val="3"/>
          <w:sz w:val="32"/>
          <w:szCs w:val="32"/>
        </w:rPr>
        <w:t>的通知》（内能源发〔2025〕5号）、《包头</w:t>
      </w:r>
      <w:r>
        <w:rPr>
          <w:rFonts w:hint="eastAsia" w:ascii="仿宋_GB2312" w:hAnsi="仿宋_GB2312" w:eastAsia="仿宋_GB2312" w:cs="仿宋_GB2312"/>
          <w:spacing w:val="9"/>
          <w:sz w:val="32"/>
          <w:szCs w:val="32"/>
        </w:rPr>
        <w:t>市发展和改革委员会关于印发&lt;包头市分布式光伏开发建设管理</w:t>
      </w:r>
      <w:r>
        <w:rPr>
          <w:rFonts w:hint="eastAsia" w:ascii="仿宋_GB2312" w:hAnsi="仿宋_GB2312" w:eastAsia="仿宋_GB2312" w:cs="仿宋_GB2312"/>
          <w:spacing w:val="3"/>
          <w:sz w:val="32"/>
          <w:szCs w:val="32"/>
        </w:rPr>
        <w:t>办法&gt;</w:t>
      </w:r>
      <w:r>
        <w:rPr>
          <w:rFonts w:hint="eastAsia" w:ascii="仿宋_GB2312" w:hAnsi="仿宋_GB2312" w:eastAsia="仿宋_GB2312" w:cs="仿宋_GB2312"/>
          <w:spacing w:val="-29"/>
          <w:sz w:val="32"/>
          <w:szCs w:val="32"/>
        </w:rPr>
        <w:t xml:space="preserve"> </w:t>
      </w:r>
      <w:r>
        <w:rPr>
          <w:rFonts w:hint="eastAsia" w:ascii="仿宋_GB2312" w:hAnsi="仿宋_GB2312" w:eastAsia="仿宋_GB2312" w:cs="仿宋_GB2312"/>
          <w:spacing w:val="3"/>
          <w:sz w:val="32"/>
          <w:szCs w:val="32"/>
        </w:rPr>
        <w:t>的通知》（包发改能源字〔2025〕626号）等文件精神制定</w:t>
      </w:r>
      <w:r>
        <w:rPr>
          <w:rFonts w:hint="eastAsia" w:ascii="仿宋_GB2312" w:hAnsi="仿宋_GB2312" w:eastAsia="仿宋_GB2312" w:cs="仿宋_GB2312"/>
          <w:spacing w:val="6"/>
          <w:sz w:val="32"/>
          <w:szCs w:val="32"/>
        </w:rPr>
        <w:t>本指南。</w:t>
      </w:r>
    </w:p>
    <w:p w14:paraId="64185B1D">
      <w:pPr>
        <w:keepNext w:val="0"/>
        <w:keepLines w:val="0"/>
        <w:pageBreakBefore w:val="0"/>
        <w:widowControl/>
        <w:kinsoku w:val="0"/>
        <w:overflowPunct/>
        <w:topLinePunct w:val="0"/>
        <w:autoSpaceDE w:val="0"/>
        <w:autoSpaceDN w:val="0"/>
        <w:bidi w:val="0"/>
        <w:adjustRightInd w:val="0"/>
        <w:snapToGrid w:val="0"/>
        <w:spacing w:line="578" w:lineRule="exact"/>
        <w:ind w:left="741"/>
        <w:textAlignment w:val="baseline"/>
        <w:rPr>
          <w:rFonts w:hint="eastAsia" w:ascii="黑体" w:hAnsi="黑体" w:eastAsia="黑体" w:cs="黑体"/>
          <w:sz w:val="32"/>
          <w:szCs w:val="32"/>
        </w:rPr>
      </w:pPr>
      <w:r>
        <w:rPr>
          <w:rFonts w:hint="eastAsia" w:ascii="黑体" w:hAnsi="黑体" w:eastAsia="黑体" w:cs="黑体"/>
          <w:spacing w:val="5"/>
          <w:sz w:val="32"/>
          <w:szCs w:val="32"/>
        </w:rPr>
        <w:t>一、总则</w:t>
      </w:r>
    </w:p>
    <w:p w14:paraId="66131FA1">
      <w:pPr>
        <w:pStyle w:val="2"/>
        <w:keepNext w:val="0"/>
        <w:keepLines w:val="0"/>
        <w:pageBreakBefore w:val="0"/>
        <w:widowControl/>
        <w:kinsoku w:val="0"/>
        <w:overflowPunct/>
        <w:topLinePunct w:val="0"/>
        <w:autoSpaceDE w:val="0"/>
        <w:autoSpaceDN w:val="0"/>
        <w:bidi w:val="0"/>
        <w:adjustRightInd w:val="0"/>
        <w:snapToGrid w:val="0"/>
        <w:spacing w:line="578" w:lineRule="exact"/>
        <w:ind w:left="99" w:right="26" w:firstLine="629"/>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val="0"/>
          <w:bCs w:val="0"/>
          <w:spacing w:val="9"/>
          <w:sz w:val="32"/>
          <w:szCs w:val="32"/>
        </w:rPr>
        <w:t>（一）备案原则。</w:t>
      </w:r>
      <w:r>
        <w:rPr>
          <w:rFonts w:hint="eastAsia" w:ascii="仿宋_GB2312" w:hAnsi="仿宋_GB2312" w:eastAsia="仿宋_GB2312" w:cs="仿宋_GB2312"/>
          <w:spacing w:val="9"/>
          <w:sz w:val="32"/>
          <w:szCs w:val="32"/>
        </w:rPr>
        <w:t>坚持“谁投资、谁备案”</w:t>
      </w:r>
      <w:r>
        <w:rPr>
          <w:rFonts w:hint="eastAsia" w:ascii="仿宋_GB2312" w:hAnsi="仿宋_GB2312" w:eastAsia="仿宋_GB2312" w:cs="仿宋_GB2312"/>
          <w:spacing w:val="8"/>
          <w:sz w:val="32"/>
          <w:szCs w:val="32"/>
        </w:rPr>
        <w:t>原则，确保备案过</w:t>
      </w:r>
      <w:r>
        <w:rPr>
          <w:rFonts w:hint="eastAsia" w:ascii="仿宋_GB2312" w:hAnsi="仿宋_GB2312" w:eastAsia="仿宋_GB2312" w:cs="仿宋_GB2312"/>
          <w:spacing w:val="7"/>
          <w:sz w:val="32"/>
          <w:szCs w:val="32"/>
        </w:rPr>
        <w:t>程公正、透明、高效。</w:t>
      </w:r>
    </w:p>
    <w:p w14:paraId="55A9A26B">
      <w:pPr>
        <w:pStyle w:val="2"/>
        <w:keepNext w:val="0"/>
        <w:keepLines w:val="0"/>
        <w:pageBreakBefore w:val="0"/>
        <w:widowControl/>
        <w:kinsoku w:val="0"/>
        <w:overflowPunct/>
        <w:topLinePunct w:val="0"/>
        <w:autoSpaceDE w:val="0"/>
        <w:autoSpaceDN w:val="0"/>
        <w:bidi w:val="0"/>
        <w:adjustRightInd w:val="0"/>
        <w:snapToGrid w:val="0"/>
        <w:spacing w:line="578" w:lineRule="exact"/>
        <w:ind w:left="105" w:firstLine="622"/>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val="0"/>
          <w:bCs w:val="0"/>
          <w:spacing w:val="9"/>
          <w:sz w:val="32"/>
          <w:szCs w:val="32"/>
        </w:rPr>
        <w:t>（二）备案机关及权限。</w:t>
      </w:r>
      <w:r>
        <w:rPr>
          <w:rFonts w:hint="eastAsia" w:ascii="仿宋_GB2312" w:hAnsi="仿宋_GB2312" w:eastAsia="仿宋_GB2312" w:cs="仿宋_GB2312"/>
          <w:spacing w:val="8"/>
          <w:sz w:val="32"/>
          <w:szCs w:val="32"/>
          <w:lang w:eastAsia="zh-CN"/>
        </w:rPr>
        <w:t>固阳县</w:t>
      </w:r>
      <w:r>
        <w:rPr>
          <w:rFonts w:hint="eastAsia" w:ascii="仿宋_GB2312" w:hAnsi="仿宋_GB2312" w:eastAsia="仿宋_GB2312" w:cs="仿宋_GB2312"/>
          <w:spacing w:val="8"/>
          <w:sz w:val="32"/>
          <w:szCs w:val="32"/>
        </w:rPr>
        <w:t>发展和改革委员会为分布式</w:t>
      </w:r>
      <w:r>
        <w:rPr>
          <w:rFonts w:hint="eastAsia" w:ascii="仿宋_GB2312" w:hAnsi="仿宋_GB2312" w:eastAsia="仿宋_GB2312" w:cs="仿宋_GB2312"/>
          <w:spacing w:val="9"/>
          <w:sz w:val="32"/>
          <w:szCs w:val="32"/>
        </w:rPr>
        <w:t>光伏发电项目备案机关，负责本行政区域内项目备</w:t>
      </w:r>
      <w:r>
        <w:rPr>
          <w:rFonts w:hint="eastAsia" w:ascii="仿宋_GB2312" w:hAnsi="仿宋_GB2312" w:eastAsia="仿宋_GB2312" w:cs="仿宋_GB2312"/>
          <w:spacing w:val="8"/>
          <w:sz w:val="32"/>
          <w:szCs w:val="32"/>
        </w:rPr>
        <w:t>案管理工作。</w:t>
      </w:r>
    </w:p>
    <w:p w14:paraId="32A60C5C">
      <w:pPr>
        <w:keepNext w:val="0"/>
        <w:keepLines w:val="0"/>
        <w:pageBreakBefore w:val="0"/>
        <w:widowControl/>
        <w:kinsoku w:val="0"/>
        <w:overflowPunct/>
        <w:topLinePunct w:val="0"/>
        <w:autoSpaceDE w:val="0"/>
        <w:autoSpaceDN w:val="0"/>
        <w:bidi w:val="0"/>
        <w:adjustRightInd w:val="0"/>
        <w:snapToGrid w:val="0"/>
        <w:spacing w:line="578" w:lineRule="exact"/>
        <w:ind w:left="728"/>
        <w:textAlignment w:val="baseline"/>
        <w:rPr>
          <w:rFonts w:hint="eastAsia" w:ascii="楷体_GB2312" w:hAnsi="楷体_GB2312" w:eastAsia="楷体_GB2312" w:cs="楷体_GB2312"/>
          <w:b w:val="0"/>
          <w:bCs w:val="0"/>
          <w:snapToGrid w:val="0"/>
          <w:color w:val="000000"/>
          <w:spacing w:val="9"/>
          <w:kern w:val="0"/>
          <w:sz w:val="32"/>
          <w:szCs w:val="32"/>
          <w:lang w:val="en-US" w:eastAsia="en-US" w:bidi="ar-SA"/>
        </w:rPr>
      </w:pPr>
      <w:r>
        <w:rPr>
          <w:rFonts w:hint="eastAsia" w:ascii="楷体_GB2312" w:hAnsi="楷体_GB2312" w:eastAsia="楷体_GB2312" w:cs="楷体_GB2312"/>
          <w:b w:val="0"/>
          <w:bCs w:val="0"/>
          <w:snapToGrid w:val="0"/>
          <w:color w:val="000000"/>
          <w:spacing w:val="9"/>
          <w:kern w:val="0"/>
          <w:sz w:val="32"/>
          <w:szCs w:val="32"/>
          <w:lang w:val="en-US" w:eastAsia="en-US" w:bidi="ar-SA"/>
        </w:rPr>
        <w:t>（三）光伏类型及备案方式</w:t>
      </w:r>
    </w:p>
    <w:p w14:paraId="7E9AA4BD">
      <w:pPr>
        <w:pStyle w:val="2"/>
        <w:keepNext w:val="0"/>
        <w:keepLines w:val="0"/>
        <w:pageBreakBefore w:val="0"/>
        <w:widowControl/>
        <w:kinsoku w:val="0"/>
        <w:overflowPunct/>
        <w:topLinePunct w:val="0"/>
        <w:autoSpaceDE w:val="0"/>
        <w:autoSpaceDN w:val="0"/>
        <w:bidi w:val="0"/>
        <w:adjustRightInd w:val="0"/>
        <w:snapToGrid w:val="0"/>
        <w:spacing w:line="578" w:lineRule="exact"/>
        <w:ind w:left="761"/>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1.光伏类型说明</w:t>
      </w:r>
    </w:p>
    <w:p w14:paraId="4002D7F2">
      <w:pPr>
        <w:pStyle w:val="2"/>
        <w:keepNext w:val="0"/>
        <w:keepLines w:val="0"/>
        <w:pageBreakBefore w:val="0"/>
        <w:widowControl/>
        <w:kinsoku w:val="0"/>
        <w:overflowPunct/>
        <w:topLinePunct w:val="0"/>
        <w:autoSpaceDE w:val="0"/>
        <w:autoSpaceDN w:val="0"/>
        <w:bidi w:val="0"/>
        <w:adjustRightInd w:val="0"/>
        <w:snapToGrid w:val="0"/>
        <w:spacing w:line="578" w:lineRule="exact"/>
        <w:ind w:left="12" w:right="97" w:firstLine="622"/>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62"/>
          <w:sz w:val="32"/>
          <w:szCs w:val="32"/>
        </w:rPr>
        <w:t xml:space="preserve"> </w:t>
      </w:r>
      <w:r>
        <w:rPr>
          <w:rFonts w:hint="eastAsia" w:ascii="仿宋_GB2312" w:hAnsi="仿宋_GB2312" w:eastAsia="仿宋_GB2312" w:cs="仿宋_GB2312"/>
          <w:spacing w:val="6"/>
          <w:sz w:val="32"/>
          <w:szCs w:val="32"/>
        </w:rPr>
        <w:t>自然人户用分布式光伏：指自然人利用自有住宅、庭</w:t>
      </w:r>
      <w:r>
        <w:rPr>
          <w:rFonts w:hint="eastAsia" w:ascii="仿宋_GB2312" w:hAnsi="仿宋_GB2312" w:eastAsia="仿宋_GB2312" w:cs="仿宋_GB2312"/>
          <w:spacing w:val="8"/>
          <w:sz w:val="32"/>
          <w:szCs w:val="32"/>
        </w:rPr>
        <w:t>院投资建设，与公共电网连接点电压等级不超过</w:t>
      </w:r>
      <w:r>
        <w:rPr>
          <w:rFonts w:hint="eastAsia" w:ascii="仿宋_GB2312" w:hAnsi="仿宋_GB2312" w:eastAsia="仿宋_GB2312" w:cs="仿宋_GB2312"/>
          <w:spacing w:val="-60"/>
          <w:sz w:val="32"/>
          <w:szCs w:val="32"/>
        </w:rPr>
        <w:t xml:space="preserve"> </w:t>
      </w:r>
      <w:r>
        <w:rPr>
          <w:rFonts w:hint="eastAsia" w:ascii="仿宋_GB2312" w:hAnsi="仿宋_GB2312" w:eastAsia="仿宋_GB2312" w:cs="仿宋_GB2312"/>
          <w:spacing w:val="8"/>
          <w:sz w:val="32"/>
          <w:szCs w:val="32"/>
        </w:rPr>
        <w:t>380</w:t>
      </w:r>
      <w:r>
        <w:rPr>
          <w:rFonts w:hint="eastAsia" w:ascii="仿宋_GB2312" w:hAnsi="仿宋_GB2312" w:eastAsia="仿宋_GB2312" w:cs="仿宋_GB2312"/>
          <w:spacing w:val="7"/>
          <w:sz w:val="32"/>
          <w:szCs w:val="32"/>
        </w:rPr>
        <w:t>伏的分布式</w:t>
      </w:r>
      <w:r>
        <w:rPr>
          <w:rFonts w:hint="eastAsia" w:ascii="仿宋_GB2312" w:hAnsi="仿宋_GB2312" w:eastAsia="仿宋_GB2312" w:cs="仿宋_GB2312"/>
          <w:spacing w:val="-2"/>
          <w:sz w:val="32"/>
          <w:szCs w:val="32"/>
        </w:rPr>
        <w:t>光伏。</w:t>
      </w:r>
    </w:p>
    <w:p w14:paraId="3976827F">
      <w:pPr>
        <w:pStyle w:val="2"/>
        <w:keepNext w:val="0"/>
        <w:keepLines w:val="0"/>
        <w:pageBreakBefore w:val="0"/>
        <w:widowControl/>
        <w:kinsoku w:val="0"/>
        <w:overflowPunct/>
        <w:topLinePunct w:val="0"/>
        <w:autoSpaceDE w:val="0"/>
        <w:autoSpaceDN w:val="0"/>
        <w:bidi w:val="0"/>
        <w:adjustRightInd w:val="0"/>
        <w:snapToGrid w:val="0"/>
        <w:spacing w:line="578" w:lineRule="exact"/>
        <w:ind w:left="2" w:firstLine="632"/>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（2）非自然人户用分布式光伏：指非自然人利用居民住宅、庭院投资建设，与公共电网连接点电压等级不超过</w:t>
      </w:r>
      <w:r>
        <w:rPr>
          <w:rFonts w:hint="eastAsia" w:ascii="仿宋_GB2312" w:hAnsi="仿宋_GB2312" w:eastAsia="仿宋_GB2312" w:cs="仿宋_GB2312"/>
          <w:spacing w:val="-36"/>
          <w:sz w:val="32"/>
          <w:szCs w:val="32"/>
        </w:rPr>
        <w:t xml:space="preserve"> </w:t>
      </w:r>
      <w:r>
        <w:rPr>
          <w:rFonts w:hint="eastAsia" w:ascii="仿宋_GB2312" w:hAnsi="仿宋_GB2312" w:eastAsia="仿宋_GB2312" w:cs="仿宋_GB2312"/>
          <w:spacing w:val="6"/>
          <w:sz w:val="32"/>
          <w:szCs w:val="32"/>
        </w:rPr>
        <w:t>10千伏（20</w:t>
      </w:r>
      <w:r>
        <w:rPr>
          <w:rFonts w:hint="eastAsia" w:ascii="仿宋_GB2312" w:hAnsi="仿宋_GB2312" w:eastAsia="仿宋_GB2312" w:cs="仿宋_GB2312"/>
          <w:spacing w:val="7"/>
          <w:sz w:val="32"/>
          <w:szCs w:val="32"/>
        </w:rPr>
        <w:t>千伏）、总装机容量不超过</w:t>
      </w:r>
      <w:r>
        <w:rPr>
          <w:rFonts w:hint="eastAsia" w:ascii="仿宋_GB2312" w:hAnsi="仿宋_GB2312" w:eastAsia="仿宋_GB2312" w:cs="仿宋_GB2312"/>
          <w:spacing w:val="-45"/>
          <w:sz w:val="32"/>
          <w:szCs w:val="32"/>
        </w:rPr>
        <w:t xml:space="preserve"> </w:t>
      </w:r>
      <w:r>
        <w:rPr>
          <w:rFonts w:hint="eastAsia" w:ascii="仿宋_GB2312" w:hAnsi="仿宋_GB2312" w:eastAsia="仿宋_GB2312" w:cs="仿宋_GB2312"/>
          <w:spacing w:val="7"/>
          <w:sz w:val="32"/>
          <w:szCs w:val="32"/>
        </w:rPr>
        <w:t>6 兆瓦的分布式光伏。</w:t>
      </w:r>
    </w:p>
    <w:p w14:paraId="2D23A3F5">
      <w:pPr>
        <w:pStyle w:val="2"/>
        <w:keepNext w:val="0"/>
        <w:keepLines w:val="0"/>
        <w:pageBreakBefore w:val="0"/>
        <w:widowControl/>
        <w:kinsoku w:val="0"/>
        <w:overflowPunct/>
        <w:topLinePunct w:val="0"/>
        <w:autoSpaceDE w:val="0"/>
        <w:autoSpaceDN w:val="0"/>
        <w:bidi w:val="0"/>
        <w:adjustRightInd w:val="0"/>
        <w:snapToGrid w:val="0"/>
        <w:spacing w:line="578" w:lineRule="exact"/>
        <w:ind w:left="10" w:right="95" w:firstLine="62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（3）一般工商业分布式光伏：指利用党政机关、学校、医院、市政、文化、体育设施、交通场站等公共机构以及工商业厂房等建筑物及其附属场所建设，与公共电网连接点电压等级不超</w:t>
      </w:r>
      <w:r>
        <w:rPr>
          <w:rFonts w:hint="eastAsia" w:ascii="仿宋_GB2312" w:hAnsi="仿宋_GB2312" w:eastAsia="仿宋_GB2312" w:cs="仿宋_GB2312"/>
          <w:spacing w:val="4"/>
          <w:sz w:val="32"/>
          <w:szCs w:val="32"/>
        </w:rPr>
        <w:t>过</w:t>
      </w:r>
      <w:r>
        <w:rPr>
          <w:rFonts w:hint="eastAsia" w:ascii="仿宋_GB2312" w:hAnsi="仿宋_GB2312" w:eastAsia="仿宋_GB2312" w:cs="仿宋_GB2312"/>
          <w:spacing w:val="-26"/>
          <w:sz w:val="32"/>
          <w:szCs w:val="32"/>
        </w:rPr>
        <w:t xml:space="preserve"> </w:t>
      </w:r>
      <w:r>
        <w:rPr>
          <w:rFonts w:hint="eastAsia" w:ascii="仿宋_GB2312" w:hAnsi="仿宋_GB2312" w:eastAsia="仿宋_GB2312" w:cs="仿宋_GB2312"/>
          <w:spacing w:val="4"/>
          <w:sz w:val="32"/>
          <w:szCs w:val="32"/>
        </w:rPr>
        <w:t>10</w:t>
      </w:r>
      <w:r>
        <w:rPr>
          <w:rFonts w:hint="eastAsia" w:ascii="仿宋_GB2312" w:hAnsi="仿宋_GB2312" w:eastAsia="仿宋_GB2312" w:cs="仿宋_GB2312"/>
          <w:spacing w:val="23"/>
          <w:sz w:val="32"/>
          <w:szCs w:val="32"/>
        </w:rPr>
        <w:t xml:space="preserve"> </w:t>
      </w:r>
      <w:r>
        <w:rPr>
          <w:rFonts w:hint="eastAsia" w:ascii="仿宋_GB2312" w:hAnsi="仿宋_GB2312" w:eastAsia="仿宋_GB2312" w:cs="仿宋_GB2312"/>
          <w:spacing w:val="4"/>
          <w:sz w:val="32"/>
          <w:szCs w:val="32"/>
        </w:rPr>
        <w:t>千伏（20</w:t>
      </w:r>
      <w:r>
        <w:rPr>
          <w:rFonts w:hint="eastAsia" w:ascii="仿宋_GB2312" w:hAnsi="仿宋_GB2312" w:eastAsia="仿宋_GB2312" w:cs="仿宋_GB2312"/>
          <w:spacing w:val="25"/>
          <w:sz w:val="32"/>
          <w:szCs w:val="32"/>
        </w:rPr>
        <w:t xml:space="preserve"> </w:t>
      </w:r>
      <w:r>
        <w:rPr>
          <w:rFonts w:hint="eastAsia" w:ascii="仿宋_GB2312" w:hAnsi="仿宋_GB2312" w:eastAsia="仿宋_GB2312" w:cs="仿宋_GB2312"/>
          <w:spacing w:val="4"/>
          <w:sz w:val="32"/>
          <w:szCs w:val="32"/>
        </w:rPr>
        <w:t>千伏）、总装机容量原则上不超过</w:t>
      </w:r>
      <w:r>
        <w:rPr>
          <w:rFonts w:hint="eastAsia" w:ascii="仿宋_GB2312" w:hAnsi="仿宋_GB2312" w:eastAsia="仿宋_GB2312" w:cs="仿宋_GB2312"/>
          <w:spacing w:val="-62"/>
          <w:sz w:val="32"/>
          <w:szCs w:val="32"/>
        </w:rPr>
        <w:t xml:space="preserve"> </w:t>
      </w:r>
      <w:r>
        <w:rPr>
          <w:rFonts w:hint="eastAsia" w:ascii="仿宋_GB2312" w:hAnsi="仿宋_GB2312" w:eastAsia="仿宋_GB2312" w:cs="仿宋_GB2312"/>
          <w:spacing w:val="4"/>
          <w:sz w:val="32"/>
          <w:szCs w:val="32"/>
        </w:rPr>
        <w:t>6</w:t>
      </w:r>
      <w:r>
        <w:rPr>
          <w:rFonts w:hint="eastAsia" w:ascii="仿宋_GB2312" w:hAnsi="仿宋_GB2312" w:eastAsia="仿宋_GB2312" w:cs="仿宋_GB2312"/>
          <w:spacing w:val="22"/>
          <w:sz w:val="32"/>
          <w:szCs w:val="32"/>
        </w:rPr>
        <w:t xml:space="preserve"> </w:t>
      </w:r>
      <w:r>
        <w:rPr>
          <w:rFonts w:hint="eastAsia" w:ascii="仿宋_GB2312" w:hAnsi="仿宋_GB2312" w:eastAsia="仿宋_GB2312" w:cs="仿宋_GB2312"/>
          <w:spacing w:val="4"/>
          <w:sz w:val="32"/>
          <w:szCs w:val="32"/>
        </w:rPr>
        <w:t>兆瓦的分布</w:t>
      </w:r>
      <w:r>
        <w:rPr>
          <w:rFonts w:hint="eastAsia" w:ascii="仿宋_GB2312" w:hAnsi="仿宋_GB2312" w:eastAsia="仿宋_GB2312" w:cs="仿宋_GB2312"/>
          <w:spacing w:val="2"/>
          <w:sz w:val="32"/>
          <w:szCs w:val="32"/>
        </w:rPr>
        <w:t>式光伏。</w:t>
      </w:r>
    </w:p>
    <w:p w14:paraId="165711CF">
      <w:pPr>
        <w:pStyle w:val="2"/>
        <w:keepNext w:val="0"/>
        <w:keepLines w:val="0"/>
        <w:pageBreakBefore w:val="0"/>
        <w:widowControl/>
        <w:kinsoku w:val="0"/>
        <w:overflowPunct/>
        <w:topLinePunct w:val="0"/>
        <w:autoSpaceDE w:val="0"/>
        <w:autoSpaceDN w:val="0"/>
        <w:bidi w:val="0"/>
        <w:adjustRightInd w:val="0"/>
        <w:snapToGrid w:val="0"/>
        <w:spacing w:line="578" w:lineRule="exact"/>
        <w:ind w:right="95" w:firstLine="63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（4）大型工商业分布式光伏：指利用建筑物及其附属场所建设，接入用户侧电网或者与用户开展专线供电（不直接接入公</w:t>
      </w:r>
      <w:r>
        <w:rPr>
          <w:rFonts w:hint="eastAsia" w:ascii="仿宋_GB2312" w:hAnsi="仿宋_GB2312" w:eastAsia="仿宋_GB2312" w:cs="仿宋_GB2312"/>
          <w:spacing w:val="8"/>
          <w:sz w:val="32"/>
          <w:szCs w:val="32"/>
        </w:rPr>
        <w:t>共电网且用户与发电项目投资方为同一法人主体</w:t>
      </w:r>
      <w:r>
        <w:rPr>
          <w:rFonts w:hint="eastAsia" w:ascii="仿宋_GB2312" w:hAnsi="仿宋_GB2312" w:eastAsia="仿宋_GB2312" w:cs="仿宋_GB2312"/>
          <w:spacing w:val="28"/>
          <w:sz w:val="32"/>
          <w:szCs w:val="32"/>
        </w:rPr>
        <w:t>），</w:t>
      </w:r>
      <w:r>
        <w:rPr>
          <w:rFonts w:hint="eastAsia" w:ascii="仿宋_GB2312" w:hAnsi="仿宋_GB2312" w:eastAsia="仿宋_GB2312" w:cs="仿宋_GB2312"/>
          <w:spacing w:val="8"/>
          <w:sz w:val="32"/>
          <w:szCs w:val="32"/>
        </w:rPr>
        <w:t>与公共电网</w:t>
      </w:r>
      <w:r>
        <w:rPr>
          <w:rFonts w:hint="eastAsia" w:ascii="仿宋_GB2312" w:hAnsi="仿宋_GB2312" w:eastAsia="仿宋_GB2312" w:cs="仿宋_GB2312"/>
          <w:spacing w:val="7"/>
          <w:sz w:val="32"/>
          <w:szCs w:val="32"/>
        </w:rPr>
        <w:t>连接点电压等级为</w:t>
      </w:r>
      <w:r>
        <w:rPr>
          <w:rFonts w:hint="eastAsia" w:ascii="仿宋_GB2312" w:hAnsi="仿宋_GB2312" w:eastAsia="仿宋_GB2312" w:cs="仿宋_GB2312"/>
          <w:spacing w:val="-56"/>
          <w:sz w:val="32"/>
          <w:szCs w:val="32"/>
        </w:rPr>
        <w:t xml:space="preserve"> </w:t>
      </w:r>
      <w:r>
        <w:rPr>
          <w:rFonts w:hint="eastAsia" w:ascii="仿宋_GB2312" w:hAnsi="仿宋_GB2312" w:eastAsia="仿宋_GB2312" w:cs="仿宋_GB2312"/>
          <w:spacing w:val="7"/>
          <w:sz w:val="32"/>
          <w:szCs w:val="32"/>
        </w:rPr>
        <w:t>35</w:t>
      </w:r>
      <w:r>
        <w:rPr>
          <w:rFonts w:hint="eastAsia" w:ascii="仿宋_GB2312" w:hAnsi="仿宋_GB2312" w:eastAsia="仿宋_GB2312" w:cs="仿宋_GB2312"/>
          <w:spacing w:val="25"/>
          <w:sz w:val="32"/>
          <w:szCs w:val="32"/>
        </w:rPr>
        <w:t xml:space="preserve"> </w:t>
      </w:r>
      <w:r>
        <w:rPr>
          <w:rFonts w:hint="eastAsia" w:ascii="仿宋_GB2312" w:hAnsi="仿宋_GB2312" w:eastAsia="仿宋_GB2312" w:cs="仿宋_GB2312"/>
          <w:spacing w:val="7"/>
          <w:sz w:val="32"/>
          <w:szCs w:val="32"/>
        </w:rPr>
        <w:t>千伏、总装机容量原则上不超过</w:t>
      </w:r>
      <w:r>
        <w:rPr>
          <w:rFonts w:hint="eastAsia" w:ascii="仿宋_GB2312" w:hAnsi="仿宋_GB2312" w:eastAsia="仿宋_GB2312" w:cs="仿宋_GB2312"/>
          <w:spacing w:val="-66"/>
          <w:sz w:val="32"/>
          <w:szCs w:val="32"/>
        </w:rPr>
        <w:t xml:space="preserve"> </w:t>
      </w:r>
      <w:r>
        <w:rPr>
          <w:rFonts w:hint="eastAsia" w:ascii="仿宋_GB2312" w:hAnsi="仿宋_GB2312" w:eastAsia="仿宋_GB2312" w:cs="仿宋_GB2312"/>
          <w:spacing w:val="7"/>
          <w:sz w:val="32"/>
          <w:szCs w:val="32"/>
        </w:rPr>
        <w:t>20 兆瓦或</w:t>
      </w:r>
      <w:r>
        <w:rPr>
          <w:rFonts w:hint="eastAsia" w:ascii="仿宋_GB2312" w:hAnsi="仿宋_GB2312" w:eastAsia="仿宋_GB2312" w:cs="仿宋_GB2312"/>
          <w:spacing w:val="3"/>
          <w:sz w:val="32"/>
          <w:szCs w:val="32"/>
        </w:rPr>
        <w:t>者与公共电网连接点电压等级为</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pacing w:val="3"/>
          <w:sz w:val="32"/>
          <w:szCs w:val="32"/>
        </w:rPr>
        <w:t>110</w:t>
      </w:r>
      <w:r>
        <w:rPr>
          <w:rFonts w:hint="eastAsia" w:ascii="仿宋_GB2312" w:hAnsi="仿宋_GB2312" w:eastAsia="仿宋_GB2312" w:cs="仿宋_GB2312"/>
          <w:spacing w:val="23"/>
          <w:sz w:val="32"/>
          <w:szCs w:val="32"/>
        </w:rPr>
        <w:t xml:space="preserve"> </w:t>
      </w:r>
      <w:r>
        <w:rPr>
          <w:rFonts w:hint="eastAsia" w:ascii="仿宋_GB2312" w:hAnsi="仿宋_GB2312" w:eastAsia="仿宋_GB2312" w:cs="仿宋_GB2312"/>
          <w:spacing w:val="3"/>
          <w:sz w:val="32"/>
          <w:szCs w:val="32"/>
        </w:rPr>
        <w:t>千伏（66</w:t>
      </w:r>
      <w:r>
        <w:rPr>
          <w:rFonts w:hint="eastAsia" w:ascii="仿宋_GB2312" w:hAnsi="仿宋_GB2312" w:eastAsia="仿宋_GB2312" w:cs="仿宋_GB2312"/>
          <w:spacing w:val="23"/>
          <w:sz w:val="32"/>
          <w:szCs w:val="32"/>
        </w:rPr>
        <w:t xml:space="preserve"> </w:t>
      </w:r>
      <w:r>
        <w:rPr>
          <w:rFonts w:hint="eastAsia" w:ascii="仿宋_GB2312" w:hAnsi="仿宋_GB2312" w:eastAsia="仿宋_GB2312" w:cs="仿宋_GB2312"/>
          <w:spacing w:val="3"/>
          <w:sz w:val="32"/>
          <w:szCs w:val="32"/>
        </w:rPr>
        <w:t>千伏</w:t>
      </w:r>
      <w:r>
        <w:rPr>
          <w:rFonts w:hint="eastAsia" w:ascii="仿宋_GB2312" w:hAnsi="仿宋_GB2312" w:eastAsia="仿宋_GB2312" w:cs="仿宋_GB2312"/>
          <w:spacing w:val="10"/>
          <w:sz w:val="32"/>
          <w:szCs w:val="32"/>
        </w:rPr>
        <w:t>））</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2"/>
          <w:sz w:val="32"/>
          <w:szCs w:val="32"/>
        </w:rPr>
        <w:t>总装机</w:t>
      </w:r>
      <w:r>
        <w:rPr>
          <w:rFonts w:hint="eastAsia" w:ascii="仿宋_GB2312" w:hAnsi="仿宋_GB2312" w:eastAsia="仿宋_GB2312" w:cs="仿宋_GB2312"/>
          <w:spacing w:val="7"/>
          <w:sz w:val="32"/>
          <w:szCs w:val="32"/>
        </w:rPr>
        <w:t>容量原则上不超过</w:t>
      </w:r>
      <w:r>
        <w:rPr>
          <w:rFonts w:hint="eastAsia" w:ascii="仿宋_GB2312" w:hAnsi="仿宋_GB2312" w:eastAsia="仿宋_GB2312" w:cs="仿宋_GB2312"/>
          <w:spacing w:val="-55"/>
          <w:sz w:val="32"/>
          <w:szCs w:val="32"/>
        </w:rPr>
        <w:t xml:space="preserve"> </w:t>
      </w:r>
      <w:r>
        <w:rPr>
          <w:rFonts w:hint="eastAsia" w:ascii="仿宋_GB2312" w:hAnsi="仿宋_GB2312" w:eastAsia="仿宋_GB2312" w:cs="仿宋_GB2312"/>
          <w:spacing w:val="7"/>
          <w:sz w:val="32"/>
          <w:szCs w:val="32"/>
        </w:rPr>
        <w:t>50 兆瓦的分布式光伏。</w:t>
      </w:r>
    </w:p>
    <w:p w14:paraId="62C75440">
      <w:pPr>
        <w:pStyle w:val="2"/>
        <w:keepNext w:val="0"/>
        <w:keepLines w:val="0"/>
        <w:pageBreakBefore w:val="0"/>
        <w:widowControl/>
        <w:kinsoku w:val="0"/>
        <w:overflowPunct/>
        <w:topLinePunct w:val="0"/>
        <w:autoSpaceDE w:val="0"/>
        <w:autoSpaceDN w:val="0"/>
        <w:bidi w:val="0"/>
        <w:adjustRightInd w:val="0"/>
        <w:snapToGrid w:val="0"/>
        <w:spacing w:line="578" w:lineRule="exact"/>
        <w:ind w:left="637"/>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2.备案方式确定</w:t>
      </w:r>
    </w:p>
    <w:p w14:paraId="24DE69E1">
      <w:pPr>
        <w:pStyle w:val="2"/>
        <w:keepNext w:val="0"/>
        <w:keepLines w:val="0"/>
        <w:pageBreakBefore w:val="0"/>
        <w:widowControl/>
        <w:kinsoku w:val="0"/>
        <w:overflowPunct/>
        <w:topLinePunct w:val="0"/>
        <w:autoSpaceDE w:val="0"/>
        <w:autoSpaceDN w:val="0"/>
        <w:bidi w:val="0"/>
        <w:adjustRightInd w:val="0"/>
        <w:snapToGrid w:val="0"/>
        <w:spacing w:line="578" w:lineRule="exact"/>
        <w:ind w:left="17" w:right="95" w:firstLine="617"/>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4"/>
          <w:sz w:val="32"/>
          <w:szCs w:val="32"/>
        </w:rPr>
        <w:t>（1）</w:t>
      </w:r>
      <w:r>
        <w:rPr>
          <w:rFonts w:hint="eastAsia" w:ascii="仿宋_GB2312" w:hAnsi="仿宋_GB2312" w:eastAsia="仿宋_GB2312" w:cs="仿宋_GB2312"/>
          <w:spacing w:val="-81"/>
          <w:sz w:val="32"/>
          <w:szCs w:val="32"/>
        </w:rPr>
        <w:t xml:space="preserve"> </w:t>
      </w:r>
      <w:r>
        <w:rPr>
          <w:rFonts w:hint="eastAsia" w:ascii="仿宋_GB2312" w:hAnsi="仿宋_GB2312" w:eastAsia="仿宋_GB2312" w:cs="仿宋_GB2312"/>
          <w:spacing w:val="4"/>
          <w:sz w:val="32"/>
          <w:szCs w:val="32"/>
        </w:rPr>
        <w:t>自然人户用分布式光伏。</w:t>
      </w:r>
      <w:r>
        <w:rPr>
          <w:rFonts w:hint="eastAsia" w:ascii="仿宋_GB2312" w:hAnsi="仿宋_GB2312" w:eastAsia="仿宋_GB2312" w:cs="仿宋_GB2312"/>
          <w:spacing w:val="-78"/>
          <w:sz w:val="32"/>
          <w:szCs w:val="32"/>
        </w:rPr>
        <w:t xml:space="preserve"> </w:t>
      </w:r>
      <w:r>
        <w:rPr>
          <w:rFonts w:hint="eastAsia" w:ascii="仿宋_GB2312" w:hAnsi="仿宋_GB2312" w:eastAsia="仿宋_GB2312" w:cs="仿宋_GB2312"/>
          <w:spacing w:val="4"/>
          <w:sz w:val="32"/>
          <w:szCs w:val="32"/>
        </w:rPr>
        <w:t>自然人户用分</w:t>
      </w:r>
      <w:r>
        <w:rPr>
          <w:rFonts w:hint="eastAsia" w:ascii="仿宋_GB2312" w:hAnsi="仿宋_GB2312" w:eastAsia="仿宋_GB2312" w:cs="仿宋_GB2312"/>
          <w:spacing w:val="3"/>
          <w:sz w:val="32"/>
          <w:szCs w:val="32"/>
        </w:rPr>
        <w:t>布式光伏项目</w:t>
      </w:r>
      <w:r>
        <w:rPr>
          <w:rFonts w:hint="eastAsia" w:ascii="仿宋_GB2312" w:hAnsi="仿宋_GB2312" w:eastAsia="仿宋_GB2312" w:cs="仿宋_GB2312"/>
          <w:spacing w:val="9"/>
          <w:sz w:val="32"/>
          <w:szCs w:val="32"/>
        </w:rPr>
        <w:t>由自然人选择备案方式，可由电网企业集中代理备案，</w:t>
      </w:r>
      <w:r>
        <w:rPr>
          <w:rFonts w:hint="eastAsia" w:ascii="仿宋_GB2312" w:hAnsi="仿宋_GB2312" w:eastAsia="仿宋_GB2312" w:cs="仿宋_GB2312"/>
          <w:spacing w:val="8"/>
          <w:sz w:val="32"/>
          <w:szCs w:val="32"/>
        </w:rPr>
        <w:t>也可由自</w:t>
      </w:r>
      <w:r>
        <w:rPr>
          <w:rFonts w:hint="eastAsia" w:ascii="仿宋_GB2312" w:hAnsi="仿宋_GB2312" w:eastAsia="仿宋_GB2312" w:cs="仿宋_GB2312"/>
          <w:spacing w:val="9"/>
          <w:sz w:val="32"/>
          <w:szCs w:val="32"/>
        </w:rPr>
        <w:t>然人自行备案，电网企业不得以任何理由延迟或拒绝为自然</w:t>
      </w:r>
      <w:r>
        <w:rPr>
          <w:rFonts w:hint="eastAsia" w:ascii="仿宋_GB2312" w:hAnsi="仿宋_GB2312" w:eastAsia="仿宋_GB2312" w:cs="仿宋_GB2312"/>
          <w:spacing w:val="8"/>
          <w:sz w:val="32"/>
          <w:szCs w:val="32"/>
        </w:rPr>
        <w:t>人集</w:t>
      </w:r>
      <w:r>
        <w:rPr>
          <w:rFonts w:hint="eastAsia" w:ascii="仿宋_GB2312" w:hAnsi="仿宋_GB2312" w:eastAsia="仿宋_GB2312" w:cs="仿宋_GB2312"/>
          <w:spacing w:val="3"/>
          <w:sz w:val="32"/>
          <w:szCs w:val="32"/>
        </w:rPr>
        <w:t>中代理备案。</w:t>
      </w:r>
    </w:p>
    <w:p w14:paraId="2F424844">
      <w:pPr>
        <w:pStyle w:val="2"/>
        <w:keepNext w:val="0"/>
        <w:keepLines w:val="0"/>
        <w:pageBreakBefore w:val="0"/>
        <w:widowControl/>
        <w:kinsoku w:val="0"/>
        <w:overflowPunct/>
        <w:topLinePunct w:val="0"/>
        <w:autoSpaceDE w:val="0"/>
        <w:autoSpaceDN w:val="0"/>
        <w:bidi w:val="0"/>
        <w:adjustRightInd w:val="0"/>
        <w:snapToGrid w:val="0"/>
        <w:spacing w:line="578" w:lineRule="exact"/>
        <w:ind w:firstLine="64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（2）非自然人户用、一般工商业、大型工商业分布式</w:t>
      </w:r>
      <w:r>
        <w:rPr>
          <w:rFonts w:hint="eastAsia" w:ascii="仿宋_GB2312" w:hAnsi="仿宋_GB2312" w:eastAsia="仿宋_GB2312" w:cs="仿宋_GB2312"/>
          <w:spacing w:val="6"/>
          <w:sz w:val="32"/>
          <w:szCs w:val="32"/>
        </w:rPr>
        <w:t>光伏。</w:t>
      </w:r>
      <w:r>
        <w:rPr>
          <w:rFonts w:hint="eastAsia" w:ascii="仿宋_GB2312" w:hAnsi="仿宋_GB2312" w:eastAsia="仿宋_GB2312" w:cs="仿宋_GB2312"/>
          <w:spacing w:val="10"/>
          <w:sz w:val="32"/>
          <w:szCs w:val="32"/>
        </w:rPr>
        <w:t>非自然人户用、一般工商业、大型工商业分布</w:t>
      </w:r>
      <w:r>
        <w:rPr>
          <w:rFonts w:hint="eastAsia" w:ascii="仿宋_GB2312" w:hAnsi="仿宋_GB2312" w:eastAsia="仿宋_GB2312" w:cs="仿宋_GB2312"/>
          <w:spacing w:val="9"/>
          <w:sz w:val="32"/>
          <w:szCs w:val="32"/>
        </w:rPr>
        <w:t>式光伏项目投资主</w:t>
      </w:r>
      <w:r>
        <w:rPr>
          <w:rFonts w:hint="eastAsia" w:ascii="仿宋_GB2312" w:hAnsi="仿宋_GB2312" w:eastAsia="仿宋_GB2312" w:cs="仿宋_GB2312"/>
          <w:spacing w:val="10"/>
          <w:sz w:val="32"/>
          <w:szCs w:val="32"/>
        </w:rPr>
        <w:t>体依据屋顶承载情况以及负荷消纳情况等条件</w:t>
      </w:r>
      <w:r>
        <w:rPr>
          <w:rFonts w:hint="eastAsia" w:ascii="仿宋_GB2312" w:hAnsi="仿宋_GB2312" w:eastAsia="仿宋_GB2312" w:cs="仿宋_GB2312"/>
          <w:spacing w:val="9"/>
          <w:sz w:val="32"/>
          <w:szCs w:val="32"/>
        </w:rPr>
        <w:t>编制项目申报方案，报</w:t>
      </w:r>
      <w:r>
        <w:rPr>
          <w:rFonts w:hint="eastAsia" w:ascii="仿宋_GB2312" w:hAnsi="仿宋_GB2312" w:eastAsia="仿宋_GB2312" w:cs="仿宋_GB2312"/>
          <w:spacing w:val="9"/>
          <w:sz w:val="32"/>
          <w:szCs w:val="32"/>
          <w:lang w:eastAsia="zh-CN"/>
        </w:rPr>
        <w:t>固阳县</w:t>
      </w:r>
      <w:r>
        <w:rPr>
          <w:rFonts w:hint="eastAsia" w:ascii="仿宋_GB2312" w:hAnsi="仿宋_GB2312" w:eastAsia="仿宋_GB2312" w:cs="仿宋_GB2312"/>
          <w:spacing w:val="9"/>
          <w:sz w:val="32"/>
          <w:szCs w:val="32"/>
        </w:rPr>
        <w:t>发改委，经初审、征求意见、专家评审后出具项目</w:t>
      </w:r>
      <w:r>
        <w:rPr>
          <w:rFonts w:hint="eastAsia" w:ascii="仿宋_GB2312" w:hAnsi="仿宋_GB2312" w:eastAsia="仿宋_GB2312" w:cs="仿宋_GB2312"/>
          <w:spacing w:val="6"/>
          <w:sz w:val="32"/>
          <w:szCs w:val="32"/>
        </w:rPr>
        <w:t>批复文件，再备案。</w:t>
      </w:r>
    </w:p>
    <w:p w14:paraId="06DDC439">
      <w:pPr>
        <w:keepNext w:val="0"/>
        <w:keepLines w:val="0"/>
        <w:pageBreakBefore w:val="0"/>
        <w:widowControl/>
        <w:kinsoku w:val="0"/>
        <w:overflowPunct/>
        <w:topLinePunct w:val="0"/>
        <w:autoSpaceDE w:val="0"/>
        <w:autoSpaceDN w:val="0"/>
        <w:bidi w:val="0"/>
        <w:adjustRightInd w:val="0"/>
        <w:snapToGrid w:val="0"/>
        <w:spacing w:line="578" w:lineRule="exact"/>
        <w:ind w:left="653"/>
        <w:textAlignment w:val="baseline"/>
        <w:rPr>
          <w:rFonts w:hint="eastAsia" w:ascii="黑体" w:hAnsi="黑体" w:eastAsia="黑体" w:cs="黑体"/>
          <w:sz w:val="32"/>
          <w:szCs w:val="32"/>
        </w:rPr>
      </w:pPr>
      <w:r>
        <w:rPr>
          <w:rFonts w:hint="eastAsia" w:ascii="黑体" w:hAnsi="黑体" w:eastAsia="黑体" w:cs="黑体"/>
          <w:spacing w:val="7"/>
          <w:sz w:val="32"/>
          <w:szCs w:val="32"/>
        </w:rPr>
        <w:t>二、备案流程</w:t>
      </w:r>
    </w:p>
    <w:p w14:paraId="255FB518">
      <w:pPr>
        <w:keepNext w:val="0"/>
        <w:keepLines w:val="0"/>
        <w:pageBreakBefore w:val="0"/>
        <w:widowControl/>
        <w:kinsoku w:val="0"/>
        <w:overflowPunct/>
        <w:topLinePunct w:val="0"/>
        <w:autoSpaceDE w:val="0"/>
        <w:autoSpaceDN w:val="0"/>
        <w:bidi w:val="0"/>
        <w:adjustRightInd w:val="0"/>
        <w:snapToGrid w:val="0"/>
        <w:spacing w:line="578" w:lineRule="exact"/>
        <w:ind w:left="640"/>
        <w:textAlignment w:val="baseline"/>
        <w:outlineLvl w:val="1"/>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pacing w:val="-60"/>
          <w:sz w:val="32"/>
          <w:szCs w:val="32"/>
        </w:rPr>
        <w:t xml:space="preserve"> </w:t>
      </w:r>
      <w:r>
        <w:rPr>
          <w:rFonts w:hint="eastAsia" w:ascii="楷体_GB2312" w:hAnsi="楷体_GB2312" w:eastAsia="楷体_GB2312" w:cs="楷体_GB2312"/>
          <w:b w:val="0"/>
          <w:bCs w:val="0"/>
          <w:sz w:val="32"/>
          <w:szCs w:val="32"/>
        </w:rPr>
        <w:t>自然人户用分布式光伏</w:t>
      </w:r>
    </w:p>
    <w:p w14:paraId="2C13FE94">
      <w:pPr>
        <w:pStyle w:val="2"/>
        <w:keepNext w:val="0"/>
        <w:keepLines w:val="0"/>
        <w:pageBreakBefore w:val="0"/>
        <w:widowControl/>
        <w:kinsoku w:val="0"/>
        <w:overflowPunct/>
        <w:topLinePunct w:val="0"/>
        <w:autoSpaceDE w:val="0"/>
        <w:autoSpaceDN w:val="0"/>
        <w:bidi w:val="0"/>
        <w:adjustRightInd w:val="0"/>
        <w:snapToGrid w:val="0"/>
        <w:spacing w:line="578" w:lineRule="exact"/>
        <w:ind w:left="14" w:right="91" w:firstLine="641"/>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1.办理流程：</w:t>
      </w:r>
      <w:r>
        <w:rPr>
          <w:rFonts w:hint="eastAsia" w:ascii="仿宋_GB2312" w:hAnsi="仿宋_GB2312" w:eastAsia="仿宋_GB2312" w:cs="仿宋_GB2312"/>
          <w:spacing w:val="4"/>
          <w:sz w:val="32"/>
          <w:szCs w:val="32"/>
        </w:rPr>
        <w:t>项</w:t>
      </w:r>
      <w:r>
        <w:rPr>
          <w:rFonts w:hint="eastAsia" w:ascii="仿宋_GB2312" w:hAnsi="仿宋_GB2312" w:eastAsia="仿宋_GB2312" w:cs="仿宋_GB2312"/>
          <w:spacing w:val="-64"/>
          <w:sz w:val="32"/>
          <w:szCs w:val="32"/>
        </w:rPr>
        <w:t xml:space="preserve"> </w:t>
      </w:r>
      <w:r>
        <w:rPr>
          <w:rFonts w:hint="eastAsia" w:ascii="仿宋_GB2312" w:hAnsi="仿宋_GB2312" w:eastAsia="仿宋_GB2312" w:cs="仿宋_GB2312"/>
          <w:spacing w:val="4"/>
          <w:sz w:val="32"/>
          <w:szCs w:val="32"/>
        </w:rPr>
        <w:t>目</w:t>
      </w:r>
      <w:r>
        <w:rPr>
          <w:rFonts w:hint="eastAsia" w:ascii="仿宋_GB2312" w:hAnsi="仿宋_GB2312" w:eastAsia="仿宋_GB2312" w:cs="仿宋_GB2312"/>
          <w:spacing w:val="-92"/>
          <w:sz w:val="32"/>
          <w:szCs w:val="32"/>
        </w:rPr>
        <w:t xml:space="preserve"> </w:t>
      </w:r>
      <w:r>
        <w:rPr>
          <w:rFonts w:hint="eastAsia" w:ascii="仿宋_GB2312" w:hAnsi="仿宋_GB2312" w:eastAsia="仿宋_GB2312" w:cs="仿宋_GB2312"/>
          <w:spacing w:val="4"/>
          <w:sz w:val="32"/>
          <w:szCs w:val="32"/>
        </w:rPr>
        <w:t>申请人向</w:t>
      </w:r>
      <w:r>
        <w:rPr>
          <w:rFonts w:hint="eastAsia" w:ascii="仿宋_GB2312" w:hAnsi="仿宋_GB2312" w:eastAsia="仿宋_GB2312" w:cs="仿宋_GB2312"/>
          <w:spacing w:val="4"/>
          <w:sz w:val="32"/>
          <w:szCs w:val="32"/>
          <w:lang w:eastAsia="zh-CN"/>
        </w:rPr>
        <w:t>固阳县</w:t>
      </w:r>
      <w:r>
        <w:rPr>
          <w:rFonts w:hint="eastAsia" w:ascii="仿宋_GB2312" w:hAnsi="仿宋_GB2312" w:eastAsia="仿宋_GB2312" w:cs="仿宋_GB2312"/>
          <w:spacing w:val="4"/>
          <w:sz w:val="32"/>
          <w:szCs w:val="32"/>
        </w:rPr>
        <w:t>发改委提供备案材料→</w:t>
      </w:r>
      <w:r>
        <w:rPr>
          <w:rFonts w:hint="eastAsia" w:ascii="仿宋_GB2312" w:hAnsi="仿宋_GB2312" w:eastAsia="仿宋_GB2312" w:cs="仿宋_GB2312"/>
          <w:spacing w:val="4"/>
          <w:sz w:val="32"/>
          <w:szCs w:val="32"/>
          <w:lang w:eastAsia="zh-CN"/>
        </w:rPr>
        <w:t xml:space="preserve"> </w:t>
      </w:r>
      <w:r>
        <w:rPr>
          <w:rFonts w:hint="eastAsia" w:ascii="仿宋_GB2312" w:hAnsi="仿宋_GB2312" w:eastAsia="仿宋_GB2312" w:cs="仿宋_GB2312"/>
          <w:spacing w:val="4"/>
          <w:sz w:val="32"/>
          <w:szCs w:val="32"/>
          <w:lang w:val="en-US" w:eastAsia="zh-CN"/>
        </w:rPr>
        <w:t>县发改委</w:t>
      </w:r>
      <w:r>
        <w:rPr>
          <w:rFonts w:hint="eastAsia" w:ascii="仿宋_GB2312" w:hAnsi="仿宋_GB2312" w:eastAsia="仿宋_GB2312" w:cs="仿宋_GB2312"/>
          <w:spacing w:val="4"/>
          <w:sz w:val="32"/>
          <w:szCs w:val="32"/>
          <w:lang w:eastAsia="zh-CN"/>
        </w:rPr>
        <w:t>对</w:t>
      </w:r>
      <w:r>
        <w:rPr>
          <w:rFonts w:hint="eastAsia" w:ascii="仿宋_GB2312" w:hAnsi="仿宋_GB2312" w:eastAsia="仿宋_GB2312" w:cs="仿宋_GB2312"/>
          <w:spacing w:val="14"/>
          <w:sz w:val="32"/>
          <w:szCs w:val="32"/>
        </w:rPr>
        <w:t>备案材料进行审查→</w:t>
      </w:r>
      <w:r>
        <w:rPr>
          <w:rFonts w:hint="eastAsia" w:ascii="仿宋_GB2312" w:hAnsi="仿宋_GB2312" w:eastAsia="仿宋_GB2312" w:cs="仿宋_GB2312"/>
          <w:spacing w:val="-47"/>
          <w:sz w:val="32"/>
          <w:szCs w:val="32"/>
        </w:rPr>
        <w:t xml:space="preserve"> </w:t>
      </w:r>
      <w:r>
        <w:rPr>
          <w:rFonts w:hint="eastAsia" w:ascii="仿宋_GB2312" w:hAnsi="仿宋_GB2312" w:eastAsia="仿宋_GB2312" w:cs="仿宋_GB2312"/>
          <w:spacing w:val="14"/>
          <w:sz w:val="32"/>
          <w:szCs w:val="32"/>
        </w:rPr>
        <w:t>项</w:t>
      </w:r>
      <w:r>
        <w:rPr>
          <w:rFonts w:hint="eastAsia" w:ascii="仿宋_GB2312" w:hAnsi="仿宋_GB2312" w:eastAsia="仿宋_GB2312" w:cs="仿宋_GB2312"/>
          <w:spacing w:val="-73"/>
          <w:sz w:val="32"/>
          <w:szCs w:val="32"/>
        </w:rPr>
        <w:t xml:space="preserve"> </w:t>
      </w:r>
      <w:r>
        <w:rPr>
          <w:rFonts w:hint="eastAsia" w:ascii="仿宋_GB2312" w:hAnsi="仿宋_GB2312" w:eastAsia="仿宋_GB2312" w:cs="仿宋_GB2312"/>
          <w:spacing w:val="14"/>
          <w:sz w:val="32"/>
          <w:szCs w:val="32"/>
        </w:rPr>
        <w:t>目</w:t>
      </w:r>
      <w:r>
        <w:rPr>
          <w:rFonts w:hint="eastAsia" w:ascii="仿宋_GB2312" w:hAnsi="仿宋_GB2312" w:eastAsia="仿宋_GB2312" w:cs="仿宋_GB2312"/>
          <w:spacing w:val="-81"/>
          <w:sz w:val="32"/>
          <w:szCs w:val="32"/>
        </w:rPr>
        <w:t xml:space="preserve"> </w:t>
      </w:r>
      <w:r>
        <w:rPr>
          <w:rFonts w:hint="eastAsia" w:ascii="仿宋_GB2312" w:hAnsi="仿宋_GB2312" w:eastAsia="仿宋_GB2312" w:cs="仿宋_GB2312"/>
          <w:spacing w:val="14"/>
          <w:sz w:val="32"/>
          <w:szCs w:val="32"/>
        </w:rPr>
        <w:t>申请人登录内蒙古自治区在线审</w:t>
      </w:r>
      <w:r>
        <w:rPr>
          <w:rFonts w:hint="eastAsia" w:ascii="仿宋_GB2312" w:hAnsi="仿宋_GB2312" w:eastAsia="仿宋_GB2312" w:cs="仿宋_GB2312"/>
          <w:spacing w:val="5"/>
          <w:sz w:val="32"/>
          <w:szCs w:val="32"/>
        </w:rPr>
        <w:t>批办事大厅进行申报→</w:t>
      </w:r>
      <w:r>
        <w:rPr>
          <w:rFonts w:hint="eastAsia" w:ascii="仿宋_GB2312" w:hAnsi="仿宋_GB2312" w:eastAsia="仿宋_GB2312" w:cs="仿宋_GB2312"/>
          <w:spacing w:val="-10"/>
          <w:sz w:val="32"/>
          <w:szCs w:val="32"/>
        </w:rPr>
        <w:t xml:space="preserve"> </w:t>
      </w:r>
      <w:r>
        <w:rPr>
          <w:rFonts w:hint="eastAsia" w:ascii="仿宋_GB2312" w:hAnsi="仿宋_GB2312" w:eastAsia="仿宋_GB2312" w:cs="仿宋_GB2312"/>
          <w:spacing w:val="5"/>
          <w:sz w:val="32"/>
          <w:szCs w:val="32"/>
        </w:rPr>
        <w:t>出具项目备案告知书。</w:t>
      </w:r>
    </w:p>
    <w:p w14:paraId="1D11D792">
      <w:pPr>
        <w:pStyle w:val="2"/>
        <w:keepNext w:val="0"/>
        <w:keepLines w:val="0"/>
        <w:pageBreakBefore w:val="0"/>
        <w:widowControl/>
        <w:kinsoku w:val="0"/>
        <w:overflowPunct/>
        <w:topLinePunct w:val="0"/>
        <w:autoSpaceDE w:val="0"/>
        <w:autoSpaceDN w:val="0"/>
        <w:bidi w:val="0"/>
        <w:adjustRightInd w:val="0"/>
        <w:snapToGrid w:val="0"/>
        <w:spacing w:line="578" w:lineRule="exact"/>
        <w:ind w:left="3" w:right="91" w:firstLine="639"/>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rPr>
        <w:t>2.备案材料：</w:t>
      </w:r>
      <w:r>
        <w:rPr>
          <w:rFonts w:hint="eastAsia" w:ascii="仿宋_GB2312" w:hAnsi="仿宋_GB2312" w:eastAsia="仿宋_GB2312" w:cs="仿宋_GB2312"/>
          <w:spacing w:val="-63"/>
          <w:sz w:val="32"/>
          <w:szCs w:val="32"/>
        </w:rPr>
        <w:t xml:space="preserve"> </w:t>
      </w:r>
      <w:r>
        <w:rPr>
          <w:rFonts w:hint="eastAsia" w:ascii="仿宋_GB2312" w:hAnsi="仿宋_GB2312" w:eastAsia="仿宋_GB2312" w:cs="仿宋_GB2312"/>
          <w:spacing w:val="8"/>
          <w:sz w:val="32"/>
          <w:szCs w:val="32"/>
        </w:rPr>
        <w:t>乡镇项目实施意见；房屋产权证明（房产证、</w:t>
      </w:r>
      <w:r>
        <w:rPr>
          <w:rFonts w:hint="eastAsia" w:ascii="仿宋_GB2312" w:hAnsi="仿宋_GB2312" w:eastAsia="仿宋_GB2312" w:cs="仿宋_GB2312"/>
          <w:spacing w:val="9"/>
          <w:sz w:val="32"/>
          <w:szCs w:val="32"/>
        </w:rPr>
        <w:t>不动产权证或乡镇、街道出具的物权证明</w:t>
      </w:r>
      <w:r>
        <w:rPr>
          <w:rFonts w:hint="eastAsia" w:ascii="仿宋_GB2312" w:hAnsi="仿宋_GB2312" w:eastAsia="仿宋_GB2312" w:cs="仿宋_GB2312"/>
          <w:spacing w:val="16"/>
          <w:sz w:val="32"/>
          <w:szCs w:val="32"/>
        </w:rPr>
        <w:t>），</w:t>
      </w:r>
      <w:r>
        <w:rPr>
          <w:rFonts w:hint="eastAsia" w:ascii="仿宋_GB2312" w:hAnsi="仿宋_GB2312" w:eastAsia="仿宋_GB2312" w:cs="仿宋_GB2312"/>
          <w:spacing w:val="9"/>
          <w:sz w:val="32"/>
          <w:szCs w:val="32"/>
        </w:rPr>
        <w:t>居民身份证（复印</w:t>
      </w:r>
      <w:r>
        <w:rPr>
          <w:rFonts w:hint="eastAsia" w:ascii="仿宋_GB2312" w:hAnsi="仿宋_GB2312" w:eastAsia="仿宋_GB2312" w:cs="仿宋_GB2312"/>
          <w:spacing w:val="1"/>
          <w:sz w:val="32"/>
          <w:szCs w:val="32"/>
        </w:rPr>
        <w:t>件）。</w:t>
      </w:r>
    </w:p>
    <w:p w14:paraId="27865A62">
      <w:pPr>
        <w:keepNext w:val="0"/>
        <w:keepLines w:val="0"/>
        <w:pageBreakBefore w:val="0"/>
        <w:widowControl/>
        <w:kinsoku w:val="0"/>
        <w:overflowPunct/>
        <w:topLinePunct w:val="0"/>
        <w:autoSpaceDE w:val="0"/>
        <w:autoSpaceDN w:val="0"/>
        <w:bidi w:val="0"/>
        <w:adjustRightInd w:val="0"/>
        <w:snapToGrid w:val="0"/>
        <w:spacing w:line="578" w:lineRule="exact"/>
        <w:ind w:left="0" w:leftChars="0" w:firstLine="652" w:firstLineChars="200"/>
        <w:textAlignment w:val="baseline"/>
        <w:outlineLvl w:val="1"/>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pacing w:val="3"/>
          <w:sz w:val="32"/>
          <w:szCs w:val="32"/>
        </w:rPr>
        <w:t>（二）非</w:t>
      </w:r>
      <w:r>
        <w:rPr>
          <w:rFonts w:hint="eastAsia" w:ascii="楷体_GB2312" w:hAnsi="楷体_GB2312" w:eastAsia="楷体_GB2312" w:cs="楷体_GB2312"/>
          <w:b w:val="0"/>
          <w:bCs w:val="0"/>
          <w:spacing w:val="-68"/>
          <w:sz w:val="32"/>
          <w:szCs w:val="32"/>
        </w:rPr>
        <w:t xml:space="preserve"> </w:t>
      </w:r>
      <w:r>
        <w:rPr>
          <w:rFonts w:hint="eastAsia" w:ascii="楷体_GB2312" w:hAnsi="楷体_GB2312" w:eastAsia="楷体_GB2312" w:cs="楷体_GB2312"/>
          <w:b w:val="0"/>
          <w:bCs w:val="0"/>
          <w:spacing w:val="3"/>
          <w:sz w:val="32"/>
          <w:szCs w:val="32"/>
        </w:rPr>
        <w:t>自然人户用、一般工商业、大型工商业分布式光伏</w:t>
      </w:r>
    </w:p>
    <w:p w14:paraId="3FA6264E">
      <w:pPr>
        <w:pStyle w:val="2"/>
        <w:keepNext w:val="0"/>
        <w:keepLines w:val="0"/>
        <w:pageBreakBefore w:val="0"/>
        <w:widowControl/>
        <w:kinsoku w:val="0"/>
        <w:overflowPunct/>
        <w:topLinePunct w:val="0"/>
        <w:autoSpaceDE w:val="0"/>
        <w:autoSpaceDN w:val="0"/>
        <w:bidi w:val="0"/>
        <w:adjustRightInd w:val="0"/>
        <w:snapToGrid w:val="0"/>
        <w:spacing w:line="578" w:lineRule="exact"/>
        <w:ind w:left="14" w:right="89" w:firstLine="625"/>
        <w:jc w:val="both"/>
        <w:textAlignment w:val="baseline"/>
        <w:rPr>
          <w:rFonts w:hint="eastAsia" w:ascii="仿宋_GB2312" w:hAnsi="仿宋_GB2312" w:eastAsia="仿宋_GB2312" w:cs="仿宋_GB2312"/>
          <w:spacing w:val="10"/>
          <w:sz w:val="32"/>
          <w:szCs w:val="32"/>
        </w:rPr>
      </w:pPr>
      <w:r>
        <w:rPr>
          <w:rFonts w:hint="eastAsia" w:ascii="仿宋_GB2312" w:hAnsi="仿宋_GB2312" w:eastAsia="仿宋_GB2312" w:cs="仿宋_GB2312"/>
          <w:b/>
          <w:bCs/>
          <w:spacing w:val="10"/>
          <w:sz w:val="32"/>
          <w:szCs w:val="32"/>
        </w:rPr>
        <w:t>1.办理流程：</w:t>
      </w:r>
      <w:r>
        <w:rPr>
          <w:rFonts w:hint="eastAsia" w:ascii="仿宋_GB2312" w:hAnsi="仿宋_GB2312" w:eastAsia="仿宋_GB2312" w:cs="仿宋_GB2312"/>
          <w:spacing w:val="10"/>
          <w:sz w:val="32"/>
          <w:szCs w:val="32"/>
        </w:rPr>
        <w:t>市发改委下达旗县区分布式光伏可开放容量→</w:t>
      </w:r>
      <w:r>
        <w:rPr>
          <w:rFonts w:hint="eastAsia" w:ascii="仿宋_GB2312" w:hAnsi="仿宋_GB2312" w:eastAsia="仿宋_GB2312" w:cs="仿宋_GB2312"/>
          <w:spacing w:val="10"/>
          <w:sz w:val="32"/>
          <w:szCs w:val="32"/>
          <w:lang w:val="en-US" w:eastAsia="zh-CN"/>
        </w:rPr>
        <w:t>县发改委</w:t>
      </w:r>
      <w:r>
        <w:rPr>
          <w:rFonts w:hint="eastAsia" w:ascii="仿宋_GB2312" w:hAnsi="仿宋_GB2312" w:eastAsia="仿宋_GB2312" w:cs="仿宋_GB2312"/>
          <w:spacing w:val="10"/>
          <w:sz w:val="32"/>
          <w:szCs w:val="32"/>
        </w:rPr>
        <w:t>发布优选</w:t>
      </w:r>
      <w:r>
        <w:rPr>
          <w:rFonts w:hint="eastAsia" w:ascii="仿宋_GB2312" w:hAnsi="仿宋_GB2312" w:eastAsia="仿宋_GB2312" w:cs="仿宋_GB2312"/>
          <w:spacing w:val="10"/>
          <w:sz w:val="32"/>
          <w:szCs w:val="32"/>
          <w:lang w:val="en-US" w:eastAsia="zh-CN"/>
        </w:rPr>
        <w:t>公告</w:t>
      </w:r>
      <w:r>
        <w:rPr>
          <w:rFonts w:hint="eastAsia" w:ascii="仿宋_GB2312" w:hAnsi="仿宋_GB2312" w:eastAsia="仿宋_GB2312" w:cs="仿宋_GB2312"/>
          <w:spacing w:val="10"/>
          <w:sz w:val="32"/>
          <w:szCs w:val="32"/>
        </w:rPr>
        <w:t>→编制方案与初审→征求意见→评审与批复</w:t>
      </w:r>
    </w:p>
    <w:p w14:paraId="4395B282">
      <w:pPr>
        <w:pStyle w:val="2"/>
        <w:keepNext w:val="0"/>
        <w:keepLines w:val="0"/>
        <w:pageBreakBefore w:val="0"/>
        <w:widowControl/>
        <w:kinsoku w:val="0"/>
        <w:overflowPunct/>
        <w:topLinePunct w:val="0"/>
        <w:autoSpaceDE w:val="0"/>
        <w:autoSpaceDN w:val="0"/>
        <w:bidi w:val="0"/>
        <w:adjustRightInd w:val="0"/>
        <w:snapToGrid w:val="0"/>
        <w:spacing w:line="578" w:lineRule="exact"/>
        <w:ind w:left="643"/>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3"/>
          <w:sz w:val="32"/>
          <w:szCs w:val="32"/>
        </w:rPr>
        <w:t>2.备案材料：</w:t>
      </w:r>
    </w:p>
    <w:p w14:paraId="5490D39D">
      <w:pPr>
        <w:pStyle w:val="2"/>
        <w:keepNext w:val="0"/>
        <w:keepLines w:val="0"/>
        <w:pageBreakBefore w:val="0"/>
        <w:widowControl/>
        <w:kinsoku w:val="0"/>
        <w:overflowPunct/>
        <w:topLinePunct w:val="0"/>
        <w:autoSpaceDE w:val="0"/>
        <w:autoSpaceDN w:val="0"/>
        <w:bidi w:val="0"/>
        <w:adjustRightInd w:val="0"/>
        <w:snapToGrid w:val="0"/>
        <w:spacing w:line="578" w:lineRule="exact"/>
        <w:ind w:left="14" w:right="89" w:firstLine="625"/>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（1）项</w:t>
      </w:r>
      <w:r>
        <w:rPr>
          <w:rFonts w:hint="eastAsia" w:ascii="仿宋_GB2312" w:hAnsi="仿宋_GB2312" w:eastAsia="仿宋_GB2312" w:cs="仿宋_GB2312"/>
          <w:spacing w:val="-78"/>
          <w:sz w:val="32"/>
          <w:szCs w:val="32"/>
        </w:rPr>
        <w:t xml:space="preserve"> </w:t>
      </w:r>
      <w:r>
        <w:rPr>
          <w:rFonts w:hint="eastAsia" w:ascii="仿宋_GB2312" w:hAnsi="仿宋_GB2312" w:eastAsia="仿宋_GB2312" w:cs="仿宋_GB2312"/>
          <w:spacing w:val="10"/>
          <w:sz w:val="32"/>
          <w:szCs w:val="32"/>
        </w:rPr>
        <w:t>目</w:t>
      </w:r>
      <w:r>
        <w:rPr>
          <w:rFonts w:hint="eastAsia" w:ascii="仿宋_GB2312" w:hAnsi="仿宋_GB2312" w:eastAsia="仿宋_GB2312" w:cs="仿宋_GB2312"/>
          <w:spacing w:val="-87"/>
          <w:sz w:val="32"/>
          <w:szCs w:val="32"/>
        </w:rPr>
        <w:t xml:space="preserve"> </w:t>
      </w:r>
      <w:r>
        <w:rPr>
          <w:rFonts w:hint="eastAsia" w:ascii="仿宋_GB2312" w:hAnsi="仿宋_GB2312" w:eastAsia="仿宋_GB2312" w:cs="仿宋_GB2312"/>
          <w:spacing w:val="10"/>
          <w:sz w:val="32"/>
          <w:szCs w:val="32"/>
        </w:rPr>
        <w:t>申报方案（参考内蒙古自治区能源局发布的全额</w:t>
      </w:r>
      <w:r>
        <w:rPr>
          <w:rFonts w:hint="eastAsia" w:ascii="仿宋_GB2312" w:hAnsi="仿宋_GB2312" w:eastAsia="仿宋_GB2312" w:cs="仿宋_GB2312"/>
          <w:spacing w:val="9"/>
          <w:sz w:val="32"/>
          <w:szCs w:val="32"/>
        </w:rPr>
        <w:t>自发自用市场化并网新能源项目方案编制大纲）。应该包括但不限于房屋产权证明（房产证、不动产权证或乡镇、街道出具的物权证明）、合同协议（适用国家能源局制定的非自然人户用分布式光伏标准合同范围）或合作协议（适用一般工商业和大型工商业）、设计方案、施工方案（含建设期承诺函）、第三方</w:t>
      </w:r>
      <w:r>
        <w:rPr>
          <w:rFonts w:hint="eastAsia" w:ascii="仿宋_GB2312" w:hAnsi="仿宋_GB2312" w:eastAsia="仿宋_GB2312" w:cs="仿宋_GB2312"/>
          <w:spacing w:val="8"/>
          <w:sz w:val="32"/>
          <w:szCs w:val="32"/>
        </w:rPr>
        <w:t>（指具</w:t>
      </w:r>
      <w:r>
        <w:rPr>
          <w:rFonts w:hint="eastAsia" w:ascii="仿宋_GB2312" w:hAnsi="仿宋_GB2312" w:eastAsia="仿宋_GB2312" w:cs="仿宋_GB2312"/>
          <w:spacing w:val="7"/>
          <w:sz w:val="32"/>
          <w:szCs w:val="32"/>
        </w:rPr>
        <w:t>有相应设计资质或建设工程质量监测机构）</w:t>
      </w:r>
      <w:r>
        <w:rPr>
          <w:rFonts w:hint="eastAsia" w:ascii="仿宋_GB2312" w:hAnsi="仿宋_GB2312" w:eastAsia="仿宋_GB2312" w:cs="仿宋_GB2312"/>
          <w:spacing w:val="-92"/>
          <w:sz w:val="32"/>
          <w:szCs w:val="32"/>
        </w:rPr>
        <w:t xml:space="preserve"> </w:t>
      </w:r>
      <w:r>
        <w:rPr>
          <w:rFonts w:hint="eastAsia" w:ascii="仿宋_GB2312" w:hAnsi="仿宋_GB2312" w:eastAsia="仿宋_GB2312" w:cs="仿宋_GB2312"/>
          <w:spacing w:val="7"/>
          <w:sz w:val="32"/>
          <w:szCs w:val="32"/>
        </w:rPr>
        <w:t>出具的房屋屋顶承载</w:t>
      </w:r>
      <w:r>
        <w:rPr>
          <w:rFonts w:hint="eastAsia" w:ascii="仿宋_GB2312" w:hAnsi="仿宋_GB2312" w:eastAsia="仿宋_GB2312" w:cs="仿宋_GB2312"/>
          <w:spacing w:val="9"/>
          <w:sz w:val="32"/>
          <w:szCs w:val="32"/>
        </w:rPr>
        <w:t>力评定报告、安全生产承诺、设备设施运营到期后拆除承</w:t>
      </w:r>
      <w:r>
        <w:rPr>
          <w:rFonts w:hint="eastAsia" w:ascii="仿宋_GB2312" w:hAnsi="仿宋_GB2312" w:eastAsia="仿宋_GB2312" w:cs="仿宋_GB2312"/>
          <w:spacing w:val="8"/>
          <w:sz w:val="32"/>
          <w:szCs w:val="32"/>
        </w:rPr>
        <w:t>诺等。</w:t>
      </w:r>
    </w:p>
    <w:p w14:paraId="2AA89B8E">
      <w:pPr>
        <w:pStyle w:val="2"/>
        <w:keepNext w:val="0"/>
        <w:keepLines w:val="0"/>
        <w:pageBreakBefore w:val="0"/>
        <w:widowControl/>
        <w:kinsoku w:val="0"/>
        <w:overflowPunct/>
        <w:topLinePunct w:val="0"/>
        <w:autoSpaceDE w:val="0"/>
        <w:autoSpaceDN w:val="0"/>
        <w:bidi w:val="0"/>
        <w:adjustRightInd w:val="0"/>
        <w:snapToGrid w:val="0"/>
        <w:spacing w:line="578" w:lineRule="exact"/>
        <w:ind w:left="19" w:right="2" w:firstLine="619"/>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5"/>
          <w:sz w:val="32"/>
          <w:szCs w:val="32"/>
        </w:rPr>
        <w:t>（2）利用农户住宅建设的，应征得农户同意并取得户主书</w:t>
      </w:r>
      <w:r>
        <w:rPr>
          <w:rFonts w:hint="eastAsia" w:ascii="仿宋_GB2312" w:hAnsi="仿宋_GB2312" w:eastAsia="仿宋_GB2312" w:cs="仿宋_GB2312"/>
          <w:spacing w:val="2"/>
          <w:sz w:val="32"/>
          <w:szCs w:val="32"/>
        </w:rPr>
        <w:t>面同意书。</w:t>
      </w:r>
    </w:p>
    <w:p w14:paraId="48BCAAC7">
      <w:pPr>
        <w:pStyle w:val="2"/>
        <w:keepNext w:val="0"/>
        <w:keepLines w:val="0"/>
        <w:pageBreakBefore w:val="0"/>
        <w:widowControl/>
        <w:kinsoku w:val="0"/>
        <w:overflowPunct/>
        <w:topLinePunct w:val="0"/>
        <w:autoSpaceDE w:val="0"/>
        <w:autoSpaceDN w:val="0"/>
        <w:bidi w:val="0"/>
        <w:adjustRightInd w:val="0"/>
        <w:snapToGrid w:val="0"/>
        <w:spacing w:line="578" w:lineRule="exact"/>
        <w:ind w:left="22" w:right="2" w:firstLine="61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（3）项</w:t>
      </w:r>
      <w:r>
        <w:rPr>
          <w:rFonts w:hint="eastAsia" w:ascii="仿宋_GB2312" w:hAnsi="仿宋_GB2312" w:eastAsia="仿宋_GB2312" w:cs="仿宋_GB2312"/>
          <w:spacing w:val="-61"/>
          <w:sz w:val="32"/>
          <w:szCs w:val="32"/>
        </w:rPr>
        <w:t xml:space="preserve"> </w:t>
      </w:r>
      <w:r>
        <w:rPr>
          <w:rFonts w:hint="eastAsia" w:ascii="仿宋_GB2312" w:hAnsi="仿宋_GB2312" w:eastAsia="仿宋_GB2312" w:cs="仿宋_GB2312"/>
          <w:spacing w:val="4"/>
          <w:sz w:val="32"/>
          <w:szCs w:val="32"/>
        </w:rPr>
        <w:t>目</w:t>
      </w:r>
      <w:r>
        <w:rPr>
          <w:rFonts w:hint="eastAsia" w:ascii="仿宋_GB2312" w:hAnsi="仿宋_GB2312" w:eastAsia="仿宋_GB2312" w:cs="仿宋_GB2312"/>
          <w:spacing w:val="-88"/>
          <w:sz w:val="32"/>
          <w:szCs w:val="32"/>
        </w:rPr>
        <w:t xml:space="preserve"> </w:t>
      </w:r>
      <w:r>
        <w:rPr>
          <w:rFonts w:hint="eastAsia" w:ascii="仿宋_GB2312" w:hAnsi="仿宋_GB2312" w:eastAsia="仿宋_GB2312" w:cs="仿宋_GB2312"/>
          <w:spacing w:val="4"/>
          <w:sz w:val="32"/>
          <w:szCs w:val="32"/>
        </w:rPr>
        <w:t>申报主体属地、</w:t>
      </w:r>
      <w:r>
        <w:rPr>
          <w:rFonts w:hint="eastAsia" w:ascii="仿宋_GB2312" w:hAnsi="仿宋_GB2312" w:eastAsia="仿宋_GB2312" w:cs="仿宋_GB2312"/>
          <w:spacing w:val="4"/>
          <w:sz w:val="32"/>
          <w:szCs w:val="32"/>
          <w:lang w:val="en-US" w:eastAsia="zh-CN"/>
        </w:rPr>
        <w:t>县</w:t>
      </w:r>
      <w:r>
        <w:rPr>
          <w:rFonts w:hint="eastAsia" w:ascii="仿宋_GB2312" w:hAnsi="仿宋_GB2312" w:eastAsia="仿宋_GB2312" w:cs="仿宋_GB2312"/>
          <w:spacing w:val="4"/>
          <w:sz w:val="32"/>
          <w:szCs w:val="32"/>
        </w:rPr>
        <w:t>自然资源局、</w:t>
      </w:r>
      <w:r>
        <w:rPr>
          <w:rFonts w:hint="eastAsia" w:ascii="仿宋_GB2312" w:hAnsi="仿宋_GB2312" w:eastAsia="仿宋_GB2312" w:cs="仿宋_GB2312"/>
          <w:spacing w:val="-85"/>
          <w:sz w:val="32"/>
          <w:szCs w:val="32"/>
        </w:rPr>
        <w:t xml:space="preserve"> </w:t>
      </w:r>
      <w:r>
        <w:rPr>
          <w:rFonts w:hint="eastAsia" w:ascii="仿宋_GB2312" w:hAnsi="仿宋_GB2312" w:eastAsia="仿宋_GB2312" w:cs="仿宋_GB2312"/>
          <w:spacing w:val="4"/>
          <w:sz w:val="32"/>
          <w:szCs w:val="32"/>
          <w:lang w:val="en-US" w:eastAsia="zh-CN"/>
        </w:rPr>
        <w:t>县</w:t>
      </w:r>
      <w:r>
        <w:rPr>
          <w:rFonts w:hint="eastAsia" w:ascii="仿宋_GB2312" w:hAnsi="仿宋_GB2312" w:eastAsia="仿宋_GB2312" w:cs="仿宋_GB2312"/>
          <w:spacing w:val="4"/>
          <w:sz w:val="32"/>
          <w:szCs w:val="32"/>
        </w:rPr>
        <w:t>文体局相关意</w:t>
      </w:r>
      <w:r>
        <w:rPr>
          <w:rFonts w:hint="eastAsia" w:ascii="仿宋_GB2312" w:hAnsi="仿宋_GB2312" w:eastAsia="仿宋_GB2312" w:cs="仿宋_GB2312"/>
          <w:spacing w:val="8"/>
          <w:sz w:val="32"/>
          <w:szCs w:val="32"/>
        </w:rPr>
        <w:t>见，涉及限制性因素排查的应附相关单位限制性因素排查文件。</w:t>
      </w:r>
    </w:p>
    <w:p w14:paraId="640FB19F">
      <w:pPr>
        <w:pStyle w:val="2"/>
        <w:keepNext w:val="0"/>
        <w:keepLines w:val="0"/>
        <w:pageBreakBefore w:val="0"/>
        <w:widowControl/>
        <w:kinsoku w:val="0"/>
        <w:overflowPunct/>
        <w:topLinePunct w:val="0"/>
        <w:autoSpaceDE w:val="0"/>
        <w:autoSpaceDN w:val="0"/>
        <w:bidi w:val="0"/>
        <w:adjustRightInd w:val="0"/>
        <w:snapToGrid w:val="0"/>
        <w:spacing w:line="578" w:lineRule="exact"/>
        <w:ind w:left="63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（4）项目单位营业执照。</w:t>
      </w:r>
    </w:p>
    <w:p w14:paraId="51FB1D94">
      <w:pPr>
        <w:pStyle w:val="2"/>
        <w:keepNext w:val="0"/>
        <w:keepLines w:val="0"/>
        <w:pageBreakBefore w:val="0"/>
        <w:widowControl/>
        <w:kinsoku w:val="0"/>
        <w:overflowPunct/>
        <w:topLinePunct w:val="0"/>
        <w:autoSpaceDE w:val="0"/>
        <w:autoSpaceDN w:val="0"/>
        <w:bidi w:val="0"/>
        <w:adjustRightInd w:val="0"/>
        <w:snapToGrid w:val="0"/>
        <w:spacing w:line="578" w:lineRule="exact"/>
        <w:ind w:left="63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（5）</w:t>
      </w:r>
      <w:r>
        <w:rPr>
          <w:rFonts w:hint="eastAsia" w:ascii="仿宋_GB2312" w:hAnsi="仿宋_GB2312" w:eastAsia="仿宋_GB2312" w:cs="仿宋_GB2312"/>
          <w:spacing w:val="-80"/>
          <w:sz w:val="32"/>
          <w:szCs w:val="32"/>
        </w:rPr>
        <w:t xml:space="preserve"> </w:t>
      </w:r>
      <w:r>
        <w:rPr>
          <w:rFonts w:hint="eastAsia" w:ascii="仿宋_GB2312" w:hAnsi="仿宋_GB2312" w:eastAsia="仿宋_GB2312" w:cs="仿宋_GB2312"/>
          <w:spacing w:val="3"/>
          <w:sz w:val="32"/>
          <w:szCs w:val="32"/>
        </w:rPr>
        <w:t>申报方案真实性承诺书。</w:t>
      </w:r>
    </w:p>
    <w:p w14:paraId="31CAF94E">
      <w:pPr>
        <w:pStyle w:val="2"/>
        <w:keepNext w:val="0"/>
        <w:keepLines w:val="0"/>
        <w:pageBreakBefore w:val="0"/>
        <w:widowControl/>
        <w:kinsoku w:val="0"/>
        <w:overflowPunct/>
        <w:topLinePunct w:val="0"/>
        <w:autoSpaceDE w:val="0"/>
        <w:autoSpaceDN w:val="0"/>
        <w:bidi w:val="0"/>
        <w:adjustRightInd w:val="0"/>
        <w:snapToGrid w:val="0"/>
        <w:spacing w:line="578" w:lineRule="exact"/>
        <w:ind w:left="639"/>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3.企业资格要求：</w:t>
      </w:r>
    </w:p>
    <w:p w14:paraId="434BEFD3">
      <w:pPr>
        <w:pStyle w:val="2"/>
        <w:keepNext w:val="0"/>
        <w:keepLines w:val="0"/>
        <w:pageBreakBefore w:val="0"/>
        <w:widowControl/>
        <w:kinsoku w:val="0"/>
        <w:overflowPunct/>
        <w:topLinePunct w:val="0"/>
        <w:autoSpaceDE w:val="0"/>
        <w:autoSpaceDN w:val="0"/>
        <w:bidi w:val="0"/>
        <w:adjustRightInd w:val="0"/>
        <w:snapToGrid w:val="0"/>
        <w:spacing w:line="578" w:lineRule="exact"/>
        <w:ind w:left="638"/>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（1）</w:t>
      </w:r>
      <w:r>
        <w:rPr>
          <w:rFonts w:hint="eastAsia" w:ascii="仿宋_GB2312" w:hAnsi="仿宋_GB2312" w:eastAsia="仿宋_GB2312" w:cs="仿宋_GB2312"/>
          <w:spacing w:val="-91"/>
          <w:sz w:val="32"/>
          <w:szCs w:val="32"/>
        </w:rPr>
        <w:t xml:space="preserve"> </w:t>
      </w:r>
      <w:r>
        <w:rPr>
          <w:rFonts w:hint="eastAsia" w:ascii="仿宋_GB2312" w:hAnsi="仿宋_GB2312" w:eastAsia="仿宋_GB2312" w:cs="仿宋_GB2312"/>
          <w:spacing w:val="-1"/>
          <w:sz w:val="32"/>
          <w:szCs w:val="32"/>
        </w:rPr>
        <w:t>申报主体</w:t>
      </w:r>
    </w:p>
    <w:p w14:paraId="24260237">
      <w:pPr>
        <w:pStyle w:val="2"/>
        <w:keepNext w:val="0"/>
        <w:keepLines w:val="0"/>
        <w:pageBreakBefore w:val="0"/>
        <w:widowControl/>
        <w:kinsoku w:val="0"/>
        <w:overflowPunct/>
        <w:topLinePunct w:val="0"/>
        <w:autoSpaceDE w:val="0"/>
        <w:autoSpaceDN w:val="0"/>
        <w:bidi w:val="0"/>
        <w:adjustRightInd w:val="0"/>
        <w:snapToGrid w:val="0"/>
        <w:spacing w:line="578" w:lineRule="exact"/>
        <w:ind w:left="19" w:firstLine="62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①申报企业须是在中华人民共和国境内依法注册登记的企</w:t>
      </w:r>
      <w:r>
        <w:rPr>
          <w:rFonts w:hint="eastAsia" w:ascii="仿宋_GB2312" w:hAnsi="仿宋_GB2312" w:eastAsia="仿宋_GB2312" w:cs="仿宋_GB2312"/>
          <w:sz w:val="32"/>
          <w:szCs w:val="32"/>
        </w:rPr>
        <w:t>业法人；</w:t>
      </w:r>
    </w:p>
    <w:p w14:paraId="79FD3865">
      <w:pPr>
        <w:pStyle w:val="2"/>
        <w:keepNext w:val="0"/>
        <w:keepLines w:val="0"/>
        <w:pageBreakBefore w:val="0"/>
        <w:widowControl/>
        <w:kinsoku w:val="0"/>
        <w:overflowPunct/>
        <w:topLinePunct w:val="0"/>
        <w:autoSpaceDE w:val="0"/>
        <w:autoSpaceDN w:val="0"/>
        <w:bidi w:val="0"/>
        <w:adjustRightInd w:val="0"/>
        <w:snapToGrid w:val="0"/>
        <w:spacing w:line="578" w:lineRule="exact"/>
        <w:ind w:left="9" w:right="2" w:firstLine="634"/>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②申报企业如用集团分公司（非独立法人的）参与申报，应取得并提供其上级总公司（集团公司）针对本项目的授权文件。</w:t>
      </w:r>
    </w:p>
    <w:p w14:paraId="7D0D6747">
      <w:pPr>
        <w:pStyle w:val="2"/>
        <w:keepNext w:val="0"/>
        <w:keepLines w:val="0"/>
        <w:pageBreakBefore w:val="0"/>
        <w:widowControl/>
        <w:kinsoku w:val="0"/>
        <w:overflowPunct/>
        <w:topLinePunct w:val="0"/>
        <w:autoSpaceDE w:val="0"/>
        <w:autoSpaceDN w:val="0"/>
        <w:bidi w:val="0"/>
        <w:adjustRightInd w:val="0"/>
        <w:snapToGrid w:val="0"/>
        <w:spacing w:line="578" w:lineRule="exact"/>
        <w:ind w:left="638"/>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（2）信用要求</w:t>
      </w:r>
    </w:p>
    <w:p w14:paraId="343E2B59">
      <w:pPr>
        <w:pStyle w:val="2"/>
        <w:keepNext w:val="0"/>
        <w:keepLines w:val="0"/>
        <w:pageBreakBefore w:val="0"/>
        <w:widowControl/>
        <w:kinsoku w:val="0"/>
        <w:overflowPunct/>
        <w:topLinePunct w:val="0"/>
        <w:autoSpaceDE w:val="0"/>
        <w:autoSpaceDN w:val="0"/>
        <w:bidi w:val="0"/>
        <w:adjustRightInd w:val="0"/>
        <w:snapToGrid w:val="0"/>
        <w:spacing w:line="578" w:lineRule="exact"/>
        <w:ind w:left="22" w:firstLine="623"/>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①“信用中国”（</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"http://www.creditchina.gov.cn/"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z w:val="32"/>
          <w:szCs w:val="32"/>
        </w:rPr>
        <w:t>www</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z w:val="32"/>
          <w:szCs w:val="32"/>
        </w:rPr>
        <w:t>creditchina</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z w:val="32"/>
          <w:szCs w:val="32"/>
        </w:rPr>
        <w:t>gov</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z w:val="32"/>
          <w:szCs w:val="32"/>
        </w:rPr>
        <w:t>cn</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fldChar w:fldCharType="end"/>
      </w:r>
      <w:r>
        <w:rPr>
          <w:rFonts w:hint="eastAsia" w:ascii="仿宋_GB2312" w:hAnsi="仿宋_GB2312" w:eastAsia="仿宋_GB2312" w:cs="仿宋_GB2312"/>
          <w:spacing w:val="6"/>
          <w:sz w:val="32"/>
          <w:szCs w:val="32"/>
        </w:rPr>
        <w:t>）未被列入严重</w:t>
      </w:r>
      <w:r>
        <w:rPr>
          <w:rFonts w:hint="eastAsia" w:ascii="仿宋_GB2312" w:hAnsi="仿宋_GB2312" w:eastAsia="仿宋_GB2312" w:cs="仿宋_GB2312"/>
          <w:spacing w:val="4"/>
          <w:sz w:val="32"/>
          <w:szCs w:val="32"/>
        </w:rPr>
        <w:t>失信主体名单；</w:t>
      </w:r>
    </w:p>
    <w:p w14:paraId="066BC0DF">
      <w:pPr>
        <w:pStyle w:val="2"/>
        <w:keepNext w:val="0"/>
        <w:keepLines w:val="0"/>
        <w:pageBreakBefore w:val="0"/>
        <w:widowControl/>
        <w:kinsoku w:val="0"/>
        <w:wordWrap w:val="0"/>
        <w:overflowPunct/>
        <w:topLinePunct w:val="0"/>
        <w:autoSpaceDE w:val="0"/>
        <w:autoSpaceDN w:val="0"/>
        <w:bidi w:val="0"/>
        <w:adjustRightInd w:val="0"/>
        <w:snapToGrid w:val="0"/>
        <w:spacing w:line="578" w:lineRule="exact"/>
        <w:ind w:right="2" w:firstLine="644"/>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②“中国执行信息公开网”（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"http://zxgk.court.gov.cn/shixin/"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z w:val="32"/>
          <w:szCs w:val="32"/>
        </w:rPr>
        <w:t>zxgk</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z w:val="32"/>
          <w:szCs w:val="32"/>
        </w:rPr>
        <w:t>court</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z w:val="32"/>
          <w:szCs w:val="32"/>
        </w:rPr>
        <w:t>gov</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z w:val="32"/>
          <w:szCs w:val="32"/>
        </w:rPr>
        <w:t>cn</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z w:val="32"/>
          <w:szCs w:val="32"/>
        </w:rPr>
        <w:t>shixin</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rPr>
        <w:fldChar w:fldCharType="end"/>
      </w:r>
      <w:r>
        <w:rPr>
          <w:rFonts w:hint="eastAsia" w:ascii="仿宋_GB2312" w:hAnsi="仿宋_GB2312" w:eastAsia="仿宋_GB2312" w:cs="仿宋_GB2312"/>
          <w:spacing w:val="4"/>
          <w:sz w:val="32"/>
          <w:szCs w:val="32"/>
        </w:rPr>
        <w:t>）未</w:t>
      </w:r>
      <w:r>
        <w:rPr>
          <w:rFonts w:hint="eastAsia" w:ascii="仿宋_GB2312" w:hAnsi="仿宋_GB2312" w:eastAsia="仿宋_GB2312" w:cs="仿宋_GB2312"/>
          <w:spacing w:val="8"/>
          <w:sz w:val="32"/>
          <w:szCs w:val="32"/>
        </w:rPr>
        <w:t>被列入失信被执行人名单；</w:t>
      </w:r>
    </w:p>
    <w:p w14:paraId="60FAAE8A">
      <w:pPr>
        <w:pStyle w:val="2"/>
        <w:keepNext w:val="0"/>
        <w:keepLines w:val="0"/>
        <w:pageBreakBefore w:val="0"/>
        <w:widowControl/>
        <w:kinsoku w:val="0"/>
        <w:wordWrap w:val="0"/>
        <w:overflowPunct/>
        <w:topLinePunct w:val="0"/>
        <w:autoSpaceDE w:val="0"/>
        <w:autoSpaceDN w:val="0"/>
        <w:bidi w:val="0"/>
        <w:adjustRightInd w:val="0"/>
        <w:snapToGrid w:val="0"/>
        <w:spacing w:line="578" w:lineRule="exact"/>
        <w:ind w:left="6" w:right="6" w:firstLine="638"/>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③“国家企业信用信息公示系统”（</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"https://www.gsxt.gov.cn/"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https</w:t>
      </w:r>
      <w:r>
        <w:rPr>
          <w:rFonts w:hint="eastAsia" w:ascii="仿宋_GB2312" w:hAnsi="仿宋_GB2312" w:eastAsia="仿宋_GB2312" w:cs="仿宋_GB2312"/>
          <w:spacing w:val="10"/>
          <w:sz w:val="32"/>
          <w:szCs w:val="32"/>
        </w:rPr>
        <w:t>://</w:t>
      </w:r>
      <w:r>
        <w:rPr>
          <w:rFonts w:hint="eastAsia" w:ascii="仿宋_GB2312" w:hAnsi="仿宋_GB2312" w:eastAsia="仿宋_GB2312" w:cs="仿宋_GB2312"/>
          <w:sz w:val="32"/>
          <w:szCs w:val="32"/>
        </w:rPr>
        <w:t>www</w:t>
      </w:r>
      <w:r>
        <w:rPr>
          <w:rFonts w:hint="eastAsia" w:ascii="仿宋_GB2312" w:hAnsi="仿宋_GB2312" w:eastAsia="仿宋_GB2312" w:cs="仿宋_GB2312"/>
          <w:spacing w:val="10"/>
          <w:sz w:val="32"/>
          <w:szCs w:val="32"/>
        </w:rPr>
        <w:t>.</w:t>
      </w:r>
      <w:r>
        <w:rPr>
          <w:rFonts w:hint="eastAsia" w:ascii="仿宋_GB2312" w:hAnsi="仿宋_GB2312" w:eastAsia="仿宋_GB2312" w:cs="仿宋_GB2312"/>
          <w:sz w:val="32"/>
          <w:szCs w:val="32"/>
        </w:rPr>
        <w:t>gsxt</w:t>
      </w:r>
      <w:r>
        <w:rPr>
          <w:rFonts w:hint="eastAsia" w:ascii="仿宋_GB2312" w:hAnsi="仿宋_GB2312" w:eastAsia="仿宋_GB2312" w:cs="仿宋_GB2312"/>
          <w:spacing w:val="10"/>
          <w:sz w:val="32"/>
          <w:szCs w:val="32"/>
        </w:rPr>
        <w:t>.</w:t>
      </w:r>
      <w:r>
        <w:rPr>
          <w:rFonts w:hint="eastAsia" w:ascii="仿宋_GB2312" w:hAnsi="仿宋_GB2312" w:eastAsia="仿宋_GB2312" w:cs="仿宋_GB2312"/>
          <w:sz w:val="32"/>
          <w:szCs w:val="32"/>
        </w:rPr>
        <w:t>gov</w:t>
      </w:r>
      <w:r>
        <w:rPr>
          <w:rFonts w:hint="eastAsia" w:ascii="仿宋_GB2312" w:hAnsi="仿宋_GB2312" w:eastAsia="仿宋_GB2312" w:cs="仿宋_GB2312"/>
          <w:spacing w:val="10"/>
          <w:sz w:val="32"/>
          <w:szCs w:val="32"/>
        </w:rPr>
        <w:t>.</w:t>
      </w:r>
      <w:r>
        <w:rPr>
          <w:rFonts w:hint="eastAsia" w:ascii="仿宋_GB2312" w:hAnsi="仿宋_GB2312" w:eastAsia="仿宋_GB2312" w:cs="仿宋_GB2312"/>
          <w:sz w:val="32"/>
          <w:szCs w:val="32"/>
        </w:rPr>
        <w:t>cn</w:t>
      </w:r>
      <w:r>
        <w:rPr>
          <w:rFonts w:hint="eastAsia" w:ascii="仿宋_GB2312" w:hAnsi="仿宋_GB2312" w:eastAsia="仿宋_GB2312" w:cs="仿宋_GB2312"/>
          <w:spacing w:val="10"/>
          <w:sz w:val="32"/>
          <w:szCs w:val="32"/>
        </w:rPr>
        <w:t>/</w:t>
      </w:r>
      <w:r>
        <w:rPr>
          <w:rFonts w:hint="eastAsia" w:ascii="仿宋_GB2312" w:hAnsi="仿宋_GB2312" w:eastAsia="仿宋_GB2312" w:cs="仿宋_GB2312"/>
          <w:spacing w:val="10"/>
          <w:sz w:val="32"/>
          <w:szCs w:val="32"/>
        </w:rPr>
        <w:fldChar w:fldCharType="end"/>
      </w:r>
      <w:r>
        <w:rPr>
          <w:rFonts w:hint="eastAsia" w:ascii="仿宋_GB2312" w:hAnsi="仿宋_GB2312" w:eastAsia="仿宋_GB2312" w:cs="仿宋_GB2312"/>
          <w:spacing w:val="10"/>
          <w:sz w:val="32"/>
          <w:szCs w:val="32"/>
        </w:rPr>
        <w:t>）</w:t>
      </w:r>
      <w:r>
        <w:rPr>
          <w:rFonts w:hint="eastAsia" w:ascii="仿宋_GB2312" w:hAnsi="仿宋_GB2312" w:eastAsia="仿宋_GB2312" w:cs="仿宋_GB2312"/>
          <w:spacing w:val="8"/>
          <w:sz w:val="32"/>
          <w:szCs w:val="32"/>
        </w:rPr>
        <w:t>未被列入严重违法失信企业名单；</w:t>
      </w:r>
    </w:p>
    <w:p w14:paraId="4C62B9C1">
      <w:pPr>
        <w:pStyle w:val="2"/>
        <w:keepNext w:val="0"/>
        <w:keepLines w:val="0"/>
        <w:pageBreakBefore w:val="0"/>
        <w:widowControl/>
        <w:kinsoku w:val="0"/>
        <w:overflowPunct/>
        <w:topLinePunct w:val="0"/>
        <w:autoSpaceDE w:val="0"/>
        <w:autoSpaceDN w:val="0"/>
        <w:bidi w:val="0"/>
        <w:adjustRightInd w:val="0"/>
        <w:snapToGrid w:val="0"/>
        <w:spacing w:line="578" w:lineRule="exact"/>
        <w:ind w:left="5" w:right="97" w:firstLine="63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④“中国政府采购网”（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"http://www.ccgp.gov.cn/"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z w:val="32"/>
          <w:szCs w:val="32"/>
        </w:rPr>
        <w:t>www</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z w:val="32"/>
          <w:szCs w:val="32"/>
        </w:rPr>
        <w:t>ccgp</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z w:val="32"/>
          <w:szCs w:val="32"/>
        </w:rPr>
        <w:t>gov</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z w:val="32"/>
          <w:szCs w:val="32"/>
        </w:rPr>
        <w:t>cn</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rPr>
        <w:fldChar w:fldCharType="end"/>
      </w:r>
      <w:r>
        <w:rPr>
          <w:rFonts w:hint="eastAsia" w:ascii="仿宋_GB2312" w:hAnsi="仿宋_GB2312" w:eastAsia="仿宋_GB2312" w:cs="仿宋_GB2312"/>
          <w:spacing w:val="12"/>
          <w:sz w:val="32"/>
          <w:szCs w:val="32"/>
        </w:rPr>
        <w:t>）未被列入政</w:t>
      </w:r>
      <w:r>
        <w:rPr>
          <w:rFonts w:hint="eastAsia" w:ascii="仿宋_GB2312" w:hAnsi="仿宋_GB2312" w:eastAsia="仿宋_GB2312" w:cs="仿宋_GB2312"/>
          <w:spacing w:val="8"/>
          <w:sz w:val="32"/>
          <w:szCs w:val="32"/>
        </w:rPr>
        <w:t>府采购严重违法失信行为记录名单。</w:t>
      </w:r>
    </w:p>
    <w:p w14:paraId="36131E97">
      <w:pPr>
        <w:keepNext w:val="0"/>
        <w:keepLines w:val="0"/>
        <w:pageBreakBefore w:val="0"/>
        <w:widowControl/>
        <w:kinsoku w:val="0"/>
        <w:overflowPunct/>
        <w:topLinePunct w:val="0"/>
        <w:autoSpaceDE w:val="0"/>
        <w:autoSpaceDN w:val="0"/>
        <w:bidi w:val="0"/>
        <w:adjustRightInd w:val="0"/>
        <w:snapToGrid w:val="0"/>
        <w:spacing w:line="578" w:lineRule="exact"/>
        <w:ind w:left="649"/>
        <w:textAlignment w:val="baseline"/>
        <w:outlineLvl w:val="3"/>
        <w:rPr>
          <w:rFonts w:hint="eastAsia" w:ascii="黑体" w:hAnsi="黑体" w:eastAsia="黑体" w:cs="黑体"/>
          <w:sz w:val="32"/>
          <w:szCs w:val="32"/>
        </w:rPr>
      </w:pPr>
      <w:r>
        <w:rPr>
          <w:rFonts w:hint="eastAsia" w:ascii="黑体" w:hAnsi="黑体" w:eastAsia="黑体" w:cs="黑体"/>
          <w:spacing w:val="6"/>
          <w:sz w:val="32"/>
          <w:szCs w:val="32"/>
        </w:rPr>
        <w:t>三、注意事项</w:t>
      </w:r>
    </w:p>
    <w:p w14:paraId="1026A1FA">
      <w:pPr>
        <w:pStyle w:val="2"/>
        <w:keepNext w:val="0"/>
        <w:keepLines w:val="0"/>
        <w:pageBreakBefore w:val="0"/>
        <w:widowControl/>
        <w:kinsoku w:val="0"/>
        <w:overflowPunct/>
        <w:topLinePunct w:val="0"/>
        <w:autoSpaceDE w:val="0"/>
        <w:autoSpaceDN w:val="0"/>
        <w:bidi w:val="0"/>
        <w:adjustRightInd w:val="0"/>
        <w:snapToGrid w:val="0"/>
        <w:spacing w:line="578" w:lineRule="exact"/>
        <w:ind w:firstLine="63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（一）项目备案信息包括但不限于项目名称、投资额、投资</w:t>
      </w:r>
      <w:r>
        <w:rPr>
          <w:rFonts w:hint="eastAsia" w:ascii="仿宋_GB2312" w:hAnsi="仿宋_GB2312" w:eastAsia="仿宋_GB2312" w:cs="仿宋_GB2312"/>
          <w:spacing w:val="-9"/>
          <w:sz w:val="32"/>
          <w:szCs w:val="32"/>
        </w:rPr>
        <w:t>主体、项目类型、上网模式、建设地点、建设规模（交流侧容量）、</w:t>
      </w:r>
      <w:r>
        <w:rPr>
          <w:rFonts w:hint="eastAsia" w:ascii="仿宋_GB2312" w:hAnsi="仿宋_GB2312" w:eastAsia="仿宋_GB2312" w:cs="仿宋_GB2312"/>
          <w:spacing w:val="9"/>
          <w:sz w:val="32"/>
          <w:szCs w:val="32"/>
        </w:rPr>
        <w:t>建设内容（需说明自建或租赁场地建设）、建设工期等。</w:t>
      </w:r>
    </w:p>
    <w:p w14:paraId="34CBEB5A">
      <w:pPr>
        <w:pStyle w:val="2"/>
        <w:keepNext w:val="0"/>
        <w:keepLines w:val="0"/>
        <w:pageBreakBefore w:val="0"/>
        <w:widowControl/>
        <w:kinsoku w:val="0"/>
        <w:overflowPunct/>
        <w:topLinePunct w:val="0"/>
        <w:autoSpaceDE w:val="0"/>
        <w:autoSpaceDN w:val="0"/>
        <w:bidi w:val="0"/>
        <w:adjustRightInd w:val="0"/>
        <w:snapToGrid w:val="0"/>
        <w:spacing w:line="578" w:lineRule="exact"/>
        <w:ind w:left="2" w:right="97" w:firstLine="632"/>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（二）完成项目审批和备案手续后，投资主体严格按照方案批复及备案内容建设项目，严禁擅自变更投资主体。项目法人发</w:t>
      </w:r>
      <w:r>
        <w:rPr>
          <w:rFonts w:hint="eastAsia" w:ascii="仿宋_GB2312" w:hAnsi="仿宋_GB2312" w:eastAsia="仿宋_GB2312" w:cs="仿宋_GB2312"/>
          <w:spacing w:val="7"/>
          <w:sz w:val="32"/>
          <w:szCs w:val="32"/>
        </w:rPr>
        <w:t>生变化，项目建设地点、规模、</w:t>
      </w:r>
      <w:r>
        <w:rPr>
          <w:rFonts w:hint="eastAsia" w:ascii="仿宋_GB2312" w:hAnsi="仿宋_GB2312" w:eastAsia="仿宋_GB2312" w:cs="仿宋_GB2312"/>
          <w:spacing w:val="-88"/>
          <w:sz w:val="32"/>
          <w:szCs w:val="32"/>
        </w:rPr>
        <w:t xml:space="preserve"> </w:t>
      </w:r>
      <w:r>
        <w:rPr>
          <w:rFonts w:hint="eastAsia" w:ascii="仿宋_GB2312" w:hAnsi="仿宋_GB2312" w:eastAsia="仿宋_GB2312" w:cs="仿宋_GB2312"/>
          <w:spacing w:val="7"/>
          <w:sz w:val="32"/>
          <w:szCs w:val="32"/>
        </w:rPr>
        <w:t>内容、上网模式发生重大变化、</w:t>
      </w:r>
      <w:r>
        <w:rPr>
          <w:rFonts w:hint="eastAsia" w:ascii="仿宋_GB2312" w:hAnsi="仿宋_GB2312" w:eastAsia="仿宋_GB2312" w:cs="仿宋_GB2312"/>
          <w:spacing w:val="9"/>
          <w:sz w:val="32"/>
          <w:szCs w:val="32"/>
        </w:rPr>
        <w:t>或项目放弃建设的，投资主体应当及时告知</w:t>
      </w:r>
      <w:r>
        <w:rPr>
          <w:rFonts w:hint="eastAsia" w:ascii="仿宋_GB2312" w:hAnsi="仿宋_GB2312" w:eastAsia="仿宋_GB2312" w:cs="仿宋_GB2312"/>
          <w:spacing w:val="9"/>
          <w:sz w:val="32"/>
          <w:szCs w:val="32"/>
          <w:lang w:val="en-US" w:eastAsia="zh-CN"/>
        </w:rPr>
        <w:t>县</w:t>
      </w:r>
      <w:r>
        <w:rPr>
          <w:rFonts w:hint="eastAsia" w:ascii="仿宋_GB2312" w:hAnsi="仿宋_GB2312" w:eastAsia="仿宋_GB2312" w:cs="仿宋_GB2312"/>
          <w:spacing w:val="9"/>
          <w:sz w:val="32"/>
          <w:szCs w:val="32"/>
        </w:rPr>
        <w:t>发改委，并办理审</w:t>
      </w:r>
      <w:r>
        <w:rPr>
          <w:rFonts w:hint="eastAsia" w:ascii="仿宋_GB2312" w:hAnsi="仿宋_GB2312" w:eastAsia="仿宋_GB2312" w:cs="仿宋_GB2312"/>
          <w:spacing w:val="7"/>
          <w:sz w:val="32"/>
          <w:szCs w:val="32"/>
        </w:rPr>
        <w:t>批和备案变更手续。</w:t>
      </w:r>
    </w:p>
    <w:p w14:paraId="093C05A8">
      <w:pPr>
        <w:pStyle w:val="2"/>
        <w:keepNext w:val="0"/>
        <w:keepLines w:val="0"/>
        <w:pageBreakBefore w:val="0"/>
        <w:widowControl/>
        <w:kinsoku w:val="0"/>
        <w:overflowPunct/>
        <w:topLinePunct w:val="0"/>
        <w:autoSpaceDE w:val="0"/>
        <w:autoSpaceDN w:val="0"/>
        <w:bidi w:val="0"/>
        <w:adjustRightInd w:val="0"/>
        <w:snapToGrid w:val="0"/>
        <w:spacing w:line="578" w:lineRule="exact"/>
        <w:ind w:left="6" w:right="97" w:firstLine="629"/>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（三）严禁项目“批大建小”</w:t>
      </w:r>
      <w:r>
        <w:rPr>
          <w:rFonts w:hint="eastAsia" w:ascii="仿宋_GB2312" w:hAnsi="仿宋_GB2312" w:eastAsia="仿宋_GB2312" w:cs="仿宋_GB2312"/>
          <w:spacing w:val="-31"/>
          <w:sz w:val="32"/>
          <w:szCs w:val="32"/>
        </w:rPr>
        <w:t xml:space="preserve"> </w:t>
      </w:r>
      <w:r>
        <w:rPr>
          <w:rFonts w:hint="eastAsia" w:ascii="仿宋_GB2312" w:hAnsi="仿宋_GB2312" w:eastAsia="仿宋_GB2312" w:cs="仿宋_GB2312"/>
          <w:spacing w:val="9"/>
          <w:sz w:val="32"/>
          <w:szCs w:val="32"/>
        </w:rPr>
        <w:t>，取得备案文件六个</w:t>
      </w:r>
      <w:r>
        <w:rPr>
          <w:rFonts w:hint="eastAsia" w:ascii="仿宋_GB2312" w:hAnsi="仿宋_GB2312" w:eastAsia="仿宋_GB2312" w:cs="仿宋_GB2312"/>
          <w:spacing w:val="8"/>
          <w:sz w:val="32"/>
          <w:szCs w:val="32"/>
        </w:rPr>
        <w:t>月内无实质</w:t>
      </w:r>
      <w:r>
        <w:rPr>
          <w:rFonts w:hint="eastAsia" w:ascii="仿宋_GB2312" w:hAnsi="仿宋_GB2312" w:eastAsia="仿宋_GB2312" w:cs="仿宋_GB2312"/>
          <w:spacing w:val="7"/>
          <w:sz w:val="32"/>
          <w:szCs w:val="32"/>
        </w:rPr>
        <w:t>性开工建设项目，</w:t>
      </w:r>
      <w:r>
        <w:rPr>
          <w:rFonts w:hint="eastAsia" w:ascii="仿宋_GB2312" w:hAnsi="仿宋_GB2312" w:eastAsia="仿宋_GB2312" w:cs="仿宋_GB2312"/>
          <w:spacing w:val="-89"/>
          <w:sz w:val="32"/>
          <w:szCs w:val="32"/>
        </w:rPr>
        <w:t xml:space="preserve"> </w:t>
      </w:r>
      <w:r>
        <w:rPr>
          <w:rFonts w:hint="eastAsia" w:ascii="仿宋_GB2312" w:hAnsi="仿宋_GB2312" w:eastAsia="仿宋_GB2312" w:cs="仿宋_GB2312"/>
          <w:spacing w:val="7"/>
          <w:sz w:val="32"/>
          <w:szCs w:val="32"/>
          <w:lang w:val="en-US" w:eastAsia="zh-CN"/>
        </w:rPr>
        <w:t>县</w:t>
      </w:r>
      <w:r>
        <w:rPr>
          <w:rFonts w:hint="eastAsia" w:ascii="仿宋_GB2312" w:hAnsi="仿宋_GB2312" w:eastAsia="仿宋_GB2312" w:cs="仿宋_GB2312"/>
          <w:spacing w:val="7"/>
          <w:sz w:val="32"/>
          <w:szCs w:val="32"/>
        </w:rPr>
        <w:t>发改委将视实际情况予以废止或核减</w:t>
      </w:r>
      <w:r>
        <w:rPr>
          <w:rFonts w:hint="eastAsia" w:ascii="仿宋_GB2312" w:hAnsi="仿宋_GB2312" w:eastAsia="仿宋_GB2312" w:cs="仿宋_GB2312"/>
          <w:spacing w:val="6"/>
          <w:sz w:val="32"/>
          <w:szCs w:val="32"/>
        </w:rPr>
        <w:t>容量，</w:t>
      </w:r>
      <w:r>
        <w:rPr>
          <w:rFonts w:hint="eastAsia" w:ascii="仿宋_GB2312" w:hAnsi="仿宋_GB2312" w:eastAsia="仿宋_GB2312" w:cs="仿宋_GB2312"/>
          <w:spacing w:val="7"/>
          <w:sz w:val="32"/>
          <w:szCs w:val="32"/>
        </w:rPr>
        <w:t>取消或变更项目备案。</w:t>
      </w:r>
    </w:p>
    <w:p w14:paraId="4D54B4F5">
      <w:pPr>
        <w:pStyle w:val="2"/>
        <w:keepNext w:val="0"/>
        <w:keepLines w:val="0"/>
        <w:pageBreakBefore w:val="0"/>
        <w:widowControl/>
        <w:kinsoku w:val="0"/>
        <w:overflowPunct/>
        <w:topLinePunct w:val="0"/>
        <w:autoSpaceDE w:val="0"/>
        <w:autoSpaceDN w:val="0"/>
        <w:bidi w:val="0"/>
        <w:adjustRightInd w:val="0"/>
        <w:snapToGrid w:val="0"/>
        <w:spacing w:line="578" w:lineRule="exact"/>
        <w:ind w:left="36" w:right="97" w:firstLine="599"/>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（四）分布式光伏项目投资主体在取得项目备案告知书和电</w:t>
      </w:r>
      <w:r>
        <w:rPr>
          <w:rFonts w:hint="eastAsia" w:ascii="仿宋_GB2312" w:hAnsi="仿宋_GB2312" w:eastAsia="仿宋_GB2312" w:cs="仿宋_GB2312"/>
          <w:spacing w:val="8"/>
          <w:sz w:val="32"/>
          <w:szCs w:val="32"/>
        </w:rPr>
        <w:t>网企业并网意见后方可开工建设，对于违规开工的，一律不得并</w:t>
      </w:r>
      <w:r>
        <w:rPr>
          <w:rFonts w:hint="eastAsia" w:ascii="仿宋_GB2312" w:hAnsi="仿宋_GB2312" w:eastAsia="仿宋_GB2312" w:cs="仿宋_GB2312"/>
          <w:spacing w:val="-19"/>
          <w:sz w:val="32"/>
          <w:szCs w:val="32"/>
        </w:rPr>
        <w:t>网。</w:t>
      </w:r>
    </w:p>
    <w:p w14:paraId="5319F208">
      <w:pPr>
        <w:pStyle w:val="2"/>
        <w:keepNext w:val="0"/>
        <w:keepLines w:val="0"/>
        <w:pageBreakBefore w:val="0"/>
        <w:widowControl/>
        <w:kinsoku w:val="0"/>
        <w:overflowPunct/>
        <w:topLinePunct w:val="0"/>
        <w:autoSpaceDE w:val="0"/>
        <w:autoSpaceDN w:val="0"/>
        <w:bidi w:val="0"/>
        <w:adjustRightInd w:val="0"/>
        <w:snapToGrid w:val="0"/>
        <w:spacing w:line="578" w:lineRule="exact"/>
        <w:ind w:left="2" w:right="95" w:firstLine="632"/>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（五）各类分布式光伏发电项目都应当在并网投产前与电网企业及其调度机构签订《并网调度协议》，并根据协议接受电网</w:t>
      </w:r>
      <w:r>
        <w:rPr>
          <w:rFonts w:hint="eastAsia" w:ascii="仿宋_GB2312" w:hAnsi="仿宋_GB2312" w:eastAsia="仿宋_GB2312" w:cs="仿宋_GB2312"/>
          <w:spacing w:val="1"/>
          <w:sz w:val="32"/>
          <w:szCs w:val="32"/>
        </w:rPr>
        <w:t>调度。</w:t>
      </w:r>
    </w:p>
    <w:p w14:paraId="4989D9AE">
      <w:pPr>
        <w:keepNext w:val="0"/>
        <w:keepLines w:val="0"/>
        <w:pageBreakBefore w:val="0"/>
        <w:widowControl/>
        <w:kinsoku w:val="0"/>
        <w:overflowPunct/>
        <w:topLinePunct w:val="0"/>
        <w:autoSpaceDE w:val="0"/>
        <w:autoSpaceDN w:val="0"/>
        <w:bidi w:val="0"/>
        <w:adjustRightInd w:val="0"/>
        <w:snapToGrid w:val="0"/>
        <w:spacing w:line="578" w:lineRule="exact"/>
        <w:textAlignment w:val="baseline"/>
        <w:rPr>
          <w:rFonts w:hint="eastAsia" w:ascii="仿宋_GB2312" w:hAnsi="仿宋_GB2312" w:eastAsia="仿宋_GB2312" w:cs="仿宋_GB2312"/>
          <w:sz w:val="32"/>
          <w:szCs w:val="32"/>
        </w:rPr>
      </w:pPr>
    </w:p>
    <w:p w14:paraId="2821853C">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rPr>
      </w:pPr>
    </w:p>
    <w:p w14:paraId="47CAB487">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rPr>
      </w:pPr>
    </w:p>
    <w:p w14:paraId="26EB5D57">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rPr>
      </w:pPr>
    </w:p>
    <w:p w14:paraId="1DBBD581">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rPr>
      </w:pPr>
    </w:p>
    <w:p w14:paraId="12E83BBD">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rPr>
      </w:pPr>
    </w:p>
    <w:p w14:paraId="3DC78B89">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rPr>
      </w:pPr>
    </w:p>
    <w:p w14:paraId="17DD7695">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rPr>
      </w:pPr>
    </w:p>
    <w:p w14:paraId="3AB700F6">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rPr>
      </w:pPr>
    </w:p>
    <w:p w14:paraId="410C92AE">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rPr>
      </w:pPr>
    </w:p>
    <w:p w14:paraId="46291315">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rPr>
      </w:pPr>
    </w:p>
    <w:p w14:paraId="50CF15C8">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rPr>
      </w:pPr>
    </w:p>
    <w:p w14:paraId="143A7365">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rPr>
      </w:pPr>
    </w:p>
    <w:p w14:paraId="252C2438">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rPr>
      </w:pPr>
    </w:p>
    <w:p w14:paraId="264E1E7F">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rPr>
      </w:pPr>
    </w:p>
    <w:p w14:paraId="56A487E3">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仿宋_GB2312" w:hAnsi="仿宋_GB2312" w:eastAsia="仿宋_GB2312" w:cs="仿宋_GB2312"/>
          <w:sz w:val="32"/>
          <w:szCs w:val="32"/>
        </w:rPr>
      </w:pPr>
    </w:p>
    <w:p w14:paraId="3C034221">
      <w:pPr>
        <w:keepNext w:val="0"/>
        <w:keepLines w:val="0"/>
        <w:pageBreakBefore w:val="0"/>
        <w:widowControl/>
        <w:kinsoku w:val="0"/>
        <w:overflowPunct/>
        <w:topLinePunct w:val="0"/>
        <w:autoSpaceDE w:val="0"/>
        <w:autoSpaceDN w:val="0"/>
        <w:bidi w:val="0"/>
        <w:adjustRightInd w:val="0"/>
        <w:snapToGrid w:val="0"/>
        <w:spacing w:line="578" w:lineRule="exact"/>
        <w:textAlignment w:val="baseline"/>
      </w:pPr>
    </w:p>
    <w:sectPr>
      <w:footerReference r:id="rId5" w:type="default"/>
      <w:pgSz w:w="11900" w:h="16820"/>
      <w:pgMar w:top="2098" w:right="1531" w:bottom="1134" w:left="1531"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F6D55">
    <w:pPr>
      <w:spacing w:line="241" w:lineRule="auto"/>
      <w:ind w:left="4112"/>
      <w:rPr>
        <w:rFonts w:ascii="楷体" w:hAnsi="楷体" w:eastAsia="楷体" w:cs="楷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-476250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566A2D">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7.5pt;height:144pt;width:144pt;mso-position-horizontal:outside;mso-position-horizontal-relative:margin;mso-wrap-style:none;z-index:251659264;mso-width-relative:page;mso-height-relative:page;" filled="f" stroked="f" coordsize="21600,21600" o:gfxdata="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JHz07rZAAAADAEAAA8AAAAAAAAAAQAgAAAAIgAAAGRycy9kb3ducmV2Lnht&#10;bFBLAQIUABQAAAAIAIdO4kBfyKa93AIAACQGAAAOAAAAAAAAAAEAIAAAACgBAABkcnMvZTJvRG9j&#10;LnhtbFBLBQYAAAAABgAGAFkBAAB2BgAAAAA=&#10;">
              <v:fill on="f" focussize="0,0"/>
              <v:stroke on="f" weight="0.5pt"/>
              <v:imagedata o:title=""/>
              <o:lock v:ext="edit" aspectratio="f"/>
              <v:textbox inset="0mm,0mm,0mm,0mm" style="mso-fit-shape-to-text:t;">
                <w:txbxContent>
                  <w:p w14:paraId="15566A2D">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549AB"/>
    <w:rsid w:val="00781374"/>
    <w:rsid w:val="00A21CF4"/>
    <w:rsid w:val="00CF70A2"/>
    <w:rsid w:val="00E74E11"/>
    <w:rsid w:val="010B3C14"/>
    <w:rsid w:val="014C69BF"/>
    <w:rsid w:val="014C7BD2"/>
    <w:rsid w:val="018C1A40"/>
    <w:rsid w:val="01D87DED"/>
    <w:rsid w:val="020121CF"/>
    <w:rsid w:val="027426CE"/>
    <w:rsid w:val="034D1EF1"/>
    <w:rsid w:val="03CF210D"/>
    <w:rsid w:val="03F90BD9"/>
    <w:rsid w:val="040D07B9"/>
    <w:rsid w:val="047F5D72"/>
    <w:rsid w:val="04915C17"/>
    <w:rsid w:val="04CE09BE"/>
    <w:rsid w:val="05156021"/>
    <w:rsid w:val="05835DE4"/>
    <w:rsid w:val="064E27E0"/>
    <w:rsid w:val="067D56CD"/>
    <w:rsid w:val="0699783B"/>
    <w:rsid w:val="06C273AC"/>
    <w:rsid w:val="06FC1F1D"/>
    <w:rsid w:val="07343B3D"/>
    <w:rsid w:val="073505DD"/>
    <w:rsid w:val="07A95B4D"/>
    <w:rsid w:val="07C06ED7"/>
    <w:rsid w:val="07E95A5A"/>
    <w:rsid w:val="07F6552F"/>
    <w:rsid w:val="08136CE5"/>
    <w:rsid w:val="08700699"/>
    <w:rsid w:val="099B0537"/>
    <w:rsid w:val="09C32718"/>
    <w:rsid w:val="0A10038C"/>
    <w:rsid w:val="0A70214A"/>
    <w:rsid w:val="0B283AD1"/>
    <w:rsid w:val="0B306BB8"/>
    <w:rsid w:val="0B5B7449"/>
    <w:rsid w:val="0B832B2A"/>
    <w:rsid w:val="0BBB10EB"/>
    <w:rsid w:val="0BBE0A82"/>
    <w:rsid w:val="0E587278"/>
    <w:rsid w:val="10FC379D"/>
    <w:rsid w:val="112779D5"/>
    <w:rsid w:val="11BA276C"/>
    <w:rsid w:val="127D5177"/>
    <w:rsid w:val="12A14833"/>
    <w:rsid w:val="133845B4"/>
    <w:rsid w:val="139556FD"/>
    <w:rsid w:val="141243D9"/>
    <w:rsid w:val="14497941"/>
    <w:rsid w:val="14D77851"/>
    <w:rsid w:val="153E5DD1"/>
    <w:rsid w:val="156C56A9"/>
    <w:rsid w:val="16150E59"/>
    <w:rsid w:val="16436C1E"/>
    <w:rsid w:val="169D1BAB"/>
    <w:rsid w:val="16B75C52"/>
    <w:rsid w:val="16C94DB2"/>
    <w:rsid w:val="16CF39C1"/>
    <w:rsid w:val="1736213F"/>
    <w:rsid w:val="17692706"/>
    <w:rsid w:val="178A32B1"/>
    <w:rsid w:val="18B85AAD"/>
    <w:rsid w:val="19416F6A"/>
    <w:rsid w:val="194F3386"/>
    <w:rsid w:val="1A4D7E95"/>
    <w:rsid w:val="1AE6518E"/>
    <w:rsid w:val="1AF669B1"/>
    <w:rsid w:val="1B0F79E2"/>
    <w:rsid w:val="1BA75373"/>
    <w:rsid w:val="1BCA26BB"/>
    <w:rsid w:val="1C131801"/>
    <w:rsid w:val="1CC62B13"/>
    <w:rsid w:val="1D584E0D"/>
    <w:rsid w:val="1E680EA9"/>
    <w:rsid w:val="1FBE453F"/>
    <w:rsid w:val="201C3D56"/>
    <w:rsid w:val="20304BD0"/>
    <w:rsid w:val="205C7187"/>
    <w:rsid w:val="20FE378C"/>
    <w:rsid w:val="21C935F3"/>
    <w:rsid w:val="22CC6E69"/>
    <w:rsid w:val="23C5094C"/>
    <w:rsid w:val="23CA3C75"/>
    <w:rsid w:val="24815566"/>
    <w:rsid w:val="24A906A5"/>
    <w:rsid w:val="2507279F"/>
    <w:rsid w:val="2540679A"/>
    <w:rsid w:val="254D16F2"/>
    <w:rsid w:val="25C407CC"/>
    <w:rsid w:val="25E851AE"/>
    <w:rsid w:val="25F43661"/>
    <w:rsid w:val="269529FF"/>
    <w:rsid w:val="26DC0F5E"/>
    <w:rsid w:val="26E1655F"/>
    <w:rsid w:val="278978FA"/>
    <w:rsid w:val="27A16322"/>
    <w:rsid w:val="27B7132B"/>
    <w:rsid w:val="27D615E5"/>
    <w:rsid w:val="286F33B8"/>
    <w:rsid w:val="28866272"/>
    <w:rsid w:val="29015CAA"/>
    <w:rsid w:val="290F6080"/>
    <w:rsid w:val="2911222E"/>
    <w:rsid w:val="29CB0475"/>
    <w:rsid w:val="29D41DA7"/>
    <w:rsid w:val="2A2111BF"/>
    <w:rsid w:val="2A6F2AA4"/>
    <w:rsid w:val="2B1961D6"/>
    <w:rsid w:val="2B290EBA"/>
    <w:rsid w:val="2B4E697D"/>
    <w:rsid w:val="2B78283A"/>
    <w:rsid w:val="2BAD3EC9"/>
    <w:rsid w:val="2C331530"/>
    <w:rsid w:val="2C552EA9"/>
    <w:rsid w:val="2CAB5237"/>
    <w:rsid w:val="2E1B7DC8"/>
    <w:rsid w:val="2ECF64AD"/>
    <w:rsid w:val="2EE726AB"/>
    <w:rsid w:val="2FB418AF"/>
    <w:rsid w:val="306A594A"/>
    <w:rsid w:val="31051A7F"/>
    <w:rsid w:val="311A7B28"/>
    <w:rsid w:val="31B0219F"/>
    <w:rsid w:val="31FD1BC2"/>
    <w:rsid w:val="322E687B"/>
    <w:rsid w:val="32552A67"/>
    <w:rsid w:val="328044D9"/>
    <w:rsid w:val="32836332"/>
    <w:rsid w:val="32CF3962"/>
    <w:rsid w:val="33CE6626"/>
    <w:rsid w:val="342B539B"/>
    <w:rsid w:val="34553810"/>
    <w:rsid w:val="347165C4"/>
    <w:rsid w:val="34AB4476"/>
    <w:rsid w:val="351362E6"/>
    <w:rsid w:val="354A0531"/>
    <w:rsid w:val="35EE401C"/>
    <w:rsid w:val="35F106B0"/>
    <w:rsid w:val="36017953"/>
    <w:rsid w:val="369F63E5"/>
    <w:rsid w:val="36AA4E5C"/>
    <w:rsid w:val="37B7720E"/>
    <w:rsid w:val="37EA124D"/>
    <w:rsid w:val="394617C3"/>
    <w:rsid w:val="39912668"/>
    <w:rsid w:val="39AE1257"/>
    <w:rsid w:val="3A0A599B"/>
    <w:rsid w:val="3A1D31B8"/>
    <w:rsid w:val="3A556DFD"/>
    <w:rsid w:val="3AB373E5"/>
    <w:rsid w:val="3AF80346"/>
    <w:rsid w:val="3B1C70AF"/>
    <w:rsid w:val="3B5F188B"/>
    <w:rsid w:val="3BCD5BB8"/>
    <w:rsid w:val="3C620AB9"/>
    <w:rsid w:val="3C6F46D8"/>
    <w:rsid w:val="3C742797"/>
    <w:rsid w:val="3C7B7DC8"/>
    <w:rsid w:val="3C851AC7"/>
    <w:rsid w:val="3C9F28DC"/>
    <w:rsid w:val="3CB9116C"/>
    <w:rsid w:val="3CD01694"/>
    <w:rsid w:val="3E1664C5"/>
    <w:rsid w:val="3EB0043B"/>
    <w:rsid w:val="3F7421BB"/>
    <w:rsid w:val="401D021D"/>
    <w:rsid w:val="410A0987"/>
    <w:rsid w:val="413C629A"/>
    <w:rsid w:val="41A27B0C"/>
    <w:rsid w:val="41D43591"/>
    <w:rsid w:val="4394179A"/>
    <w:rsid w:val="439A55EC"/>
    <w:rsid w:val="43F87EAB"/>
    <w:rsid w:val="43FD718A"/>
    <w:rsid w:val="44BB37AD"/>
    <w:rsid w:val="45BB209D"/>
    <w:rsid w:val="471504AD"/>
    <w:rsid w:val="47356F87"/>
    <w:rsid w:val="47C7768A"/>
    <w:rsid w:val="480C2E00"/>
    <w:rsid w:val="48330E17"/>
    <w:rsid w:val="49322523"/>
    <w:rsid w:val="496113E6"/>
    <w:rsid w:val="49907F0A"/>
    <w:rsid w:val="4A342B64"/>
    <w:rsid w:val="4B095DD4"/>
    <w:rsid w:val="4B7835D7"/>
    <w:rsid w:val="4B8A0E7E"/>
    <w:rsid w:val="4BC549AB"/>
    <w:rsid w:val="4C256AA2"/>
    <w:rsid w:val="4C3F5FD6"/>
    <w:rsid w:val="4CCF3203"/>
    <w:rsid w:val="4CD50D69"/>
    <w:rsid w:val="4DF255F3"/>
    <w:rsid w:val="4DF305DE"/>
    <w:rsid w:val="4E3070D0"/>
    <w:rsid w:val="4E734579"/>
    <w:rsid w:val="50751457"/>
    <w:rsid w:val="50B04C6F"/>
    <w:rsid w:val="50B708F9"/>
    <w:rsid w:val="51013759"/>
    <w:rsid w:val="516E0BFD"/>
    <w:rsid w:val="52066613"/>
    <w:rsid w:val="52E21857"/>
    <w:rsid w:val="52F71098"/>
    <w:rsid w:val="5345762B"/>
    <w:rsid w:val="5356482F"/>
    <w:rsid w:val="53873038"/>
    <w:rsid w:val="54967A8F"/>
    <w:rsid w:val="54CC3F66"/>
    <w:rsid w:val="55346363"/>
    <w:rsid w:val="55FC469E"/>
    <w:rsid w:val="56283160"/>
    <w:rsid w:val="56851FD9"/>
    <w:rsid w:val="57717B15"/>
    <w:rsid w:val="57BA1CF2"/>
    <w:rsid w:val="59294381"/>
    <w:rsid w:val="5934532D"/>
    <w:rsid w:val="594C61B2"/>
    <w:rsid w:val="59692366"/>
    <w:rsid w:val="59B06C92"/>
    <w:rsid w:val="59BF3F8F"/>
    <w:rsid w:val="59C53708"/>
    <w:rsid w:val="5AB702D9"/>
    <w:rsid w:val="5B085261"/>
    <w:rsid w:val="5B243973"/>
    <w:rsid w:val="5B4564CA"/>
    <w:rsid w:val="5B5572F6"/>
    <w:rsid w:val="5B6B4F03"/>
    <w:rsid w:val="5BAD007E"/>
    <w:rsid w:val="5C3E16D8"/>
    <w:rsid w:val="5CC95BB7"/>
    <w:rsid w:val="5D8C0496"/>
    <w:rsid w:val="5ECC7177"/>
    <w:rsid w:val="5ED93042"/>
    <w:rsid w:val="5F031EFA"/>
    <w:rsid w:val="5F3F6B07"/>
    <w:rsid w:val="60090F42"/>
    <w:rsid w:val="60B02356"/>
    <w:rsid w:val="60BF0E3C"/>
    <w:rsid w:val="60C72C41"/>
    <w:rsid w:val="60C8690D"/>
    <w:rsid w:val="61397364"/>
    <w:rsid w:val="613A0C93"/>
    <w:rsid w:val="618A3F04"/>
    <w:rsid w:val="61F51882"/>
    <w:rsid w:val="625928B9"/>
    <w:rsid w:val="629732B7"/>
    <w:rsid w:val="638B066E"/>
    <w:rsid w:val="63B521BC"/>
    <w:rsid w:val="63B92E7D"/>
    <w:rsid w:val="640D4473"/>
    <w:rsid w:val="64262FE5"/>
    <w:rsid w:val="64710D84"/>
    <w:rsid w:val="65043287"/>
    <w:rsid w:val="653D767D"/>
    <w:rsid w:val="65C40596"/>
    <w:rsid w:val="669F0B1A"/>
    <w:rsid w:val="66E520AD"/>
    <w:rsid w:val="67141D61"/>
    <w:rsid w:val="68405E0D"/>
    <w:rsid w:val="68810BF6"/>
    <w:rsid w:val="68B66453"/>
    <w:rsid w:val="691A6D33"/>
    <w:rsid w:val="697A02BC"/>
    <w:rsid w:val="6A463125"/>
    <w:rsid w:val="6AA213E1"/>
    <w:rsid w:val="6AEE2AC4"/>
    <w:rsid w:val="6B3C1DC3"/>
    <w:rsid w:val="6B866E03"/>
    <w:rsid w:val="6C5A0A7A"/>
    <w:rsid w:val="6CD83EC7"/>
    <w:rsid w:val="6D60144E"/>
    <w:rsid w:val="6DA53FCA"/>
    <w:rsid w:val="6E2823E6"/>
    <w:rsid w:val="6E3F7525"/>
    <w:rsid w:val="6EE920B2"/>
    <w:rsid w:val="6F2774D6"/>
    <w:rsid w:val="6FFB66DB"/>
    <w:rsid w:val="7005053D"/>
    <w:rsid w:val="703A7AF9"/>
    <w:rsid w:val="703F58FE"/>
    <w:rsid w:val="709B4D05"/>
    <w:rsid w:val="71494719"/>
    <w:rsid w:val="71870B0B"/>
    <w:rsid w:val="719760DA"/>
    <w:rsid w:val="71D97824"/>
    <w:rsid w:val="72186547"/>
    <w:rsid w:val="72796272"/>
    <w:rsid w:val="7423615E"/>
    <w:rsid w:val="746074FC"/>
    <w:rsid w:val="74790867"/>
    <w:rsid w:val="74F26DBE"/>
    <w:rsid w:val="74F57D56"/>
    <w:rsid w:val="750C3F43"/>
    <w:rsid w:val="75767D69"/>
    <w:rsid w:val="75A15A1F"/>
    <w:rsid w:val="75B40BBA"/>
    <w:rsid w:val="76562AF5"/>
    <w:rsid w:val="765D62B3"/>
    <w:rsid w:val="76672B83"/>
    <w:rsid w:val="76955032"/>
    <w:rsid w:val="7718124F"/>
    <w:rsid w:val="776815B4"/>
    <w:rsid w:val="7785639E"/>
    <w:rsid w:val="78164E82"/>
    <w:rsid w:val="7829434A"/>
    <w:rsid w:val="789D486A"/>
    <w:rsid w:val="78E6567C"/>
    <w:rsid w:val="79C67541"/>
    <w:rsid w:val="7A2B2F62"/>
    <w:rsid w:val="7B011121"/>
    <w:rsid w:val="7B2171FF"/>
    <w:rsid w:val="7C3E1C2D"/>
    <w:rsid w:val="7CAC67B7"/>
    <w:rsid w:val="7CD16CF1"/>
    <w:rsid w:val="7D4D100D"/>
    <w:rsid w:val="7DD463A4"/>
    <w:rsid w:val="7DD92D23"/>
    <w:rsid w:val="7DE859CA"/>
    <w:rsid w:val="7EB4167A"/>
    <w:rsid w:val="7F0A7B2E"/>
    <w:rsid w:val="7F483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2025-11-17T09:01:00Z</dcterms:created>
  <dc:creator>发改委</dc:creator>
  <cp:lastModifiedBy>发改委</cp:lastModifiedBy>
  <dcterms:modified xsi:type="dcterms:W3CDTF">2025-11-17T09:04:21Z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88BE38EB0C8A45C9B8B531DE080FFB72_11</vt:lpwstr>
  </property>
  <property fmtid="{D5CDD505-2E9C-101B-9397-08002B2CF9AE}" pid="4" name="KSOTemplateDocerSaveRecord">
    <vt:lpwstr>eyJoZGlkIjoiMTljN2ViYTVhODVjNzg2ODdlMjcwYWQzYWY0MDAzOTEiLCJ1c2VySWQiOiI0MTc4Mjg2NTEifQ==</vt:lpwstr>
  </property>
</Properties>
</file>