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036"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3225"/>
        <w:gridCol w:w="1260"/>
        <w:gridCol w:w="3480"/>
        <w:gridCol w:w="2295"/>
        <w:gridCol w:w="1935"/>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12771" w:type="dxa"/>
            <w:gridSpan w:val="6"/>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bCs/>
                <w:kern w:val="2"/>
                <w:sz w:val="44"/>
                <w:szCs w:val="44"/>
                <w:lang w:val="en-US" w:eastAsia="zh-CN" w:bidi="ar-SA"/>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 xml:space="preserve">         </w:t>
            </w: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ab/>
            </w:r>
            <w:bookmarkStart w:id="0" w:name="_GoBack"/>
            <w:r>
              <w:rPr>
                <w:rFonts w:hint="eastAsia" w:ascii="宋体" w:hAnsi="宋体" w:eastAsia="宋体" w:cs="宋体"/>
                <w:b/>
                <w:bCs/>
                <w:kern w:val="2"/>
                <w:sz w:val="44"/>
                <w:szCs w:val="44"/>
                <w:lang w:val="en-US" w:eastAsia="zh-CN" w:bidi="ar-SA"/>
              </w:rPr>
              <w:t>固阳县</w:t>
            </w:r>
            <w:r>
              <w:rPr>
                <w:rFonts w:hint="eastAsia" w:ascii="宋体" w:hAnsi="宋体" w:cs="宋体"/>
                <w:b/>
                <w:bCs/>
                <w:kern w:val="2"/>
                <w:sz w:val="44"/>
                <w:szCs w:val="44"/>
                <w:lang w:val="en-US" w:eastAsia="zh-CN" w:bidi="ar-SA"/>
              </w:rPr>
              <w:t>怀朔镇</w:t>
            </w:r>
            <w:r>
              <w:rPr>
                <w:rFonts w:hint="eastAsia" w:ascii="宋体" w:hAnsi="宋体" w:eastAsia="宋体" w:cs="宋体"/>
                <w:b/>
                <w:bCs/>
                <w:kern w:val="2"/>
                <w:sz w:val="44"/>
                <w:szCs w:val="44"/>
                <w:lang w:val="en-US" w:eastAsia="zh-CN" w:bidi="ar-SA"/>
              </w:rPr>
              <w:t>赋予苏木乡镇行政执法权力清单</w:t>
            </w:r>
            <w:bookmarkEnd w:id="0"/>
          </w:p>
          <w:p>
            <w:pPr>
              <w:keepNext w:val="0"/>
              <w:keepLines w:val="0"/>
              <w:pageBreakBefore w:val="0"/>
              <w:widowControl/>
              <w:suppressLineNumbers w:val="0"/>
              <w:tabs>
                <w:tab w:val="left" w:pos="4062"/>
              </w:tabs>
              <w:kinsoku/>
              <w:wordWrap/>
              <w:overflowPunct/>
              <w:topLinePunct w:val="0"/>
              <w:autoSpaceDE/>
              <w:autoSpaceDN/>
              <w:bidi w:val="0"/>
              <w:adjustRightInd/>
              <w:snapToGrid/>
              <w:spacing w:after="0" w:line="5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2265" w:type="dxa"/>
            <w:tcBorders>
              <w:top w:val="nil"/>
              <w:left w:val="nil"/>
              <w:bottom w:val="nil"/>
              <w:right w:val="nil"/>
            </w:tcBorders>
            <w:noWrap w:val="0"/>
            <w:vAlign w:val="center"/>
          </w:tcPr>
          <w:p>
            <w:pPr>
              <w:keepNext w:val="0"/>
              <w:keepLines w:val="0"/>
              <w:pageBreakBefore w:val="0"/>
              <w:widowControl/>
              <w:suppressLineNumbers w:val="0"/>
              <w:tabs>
                <w:tab w:val="left" w:pos="4062"/>
              </w:tabs>
              <w:kinsoku/>
              <w:wordWrap/>
              <w:overflowPunct/>
              <w:topLinePunct w:val="0"/>
              <w:autoSpaceDE/>
              <w:autoSpaceDN/>
              <w:bidi w:val="0"/>
              <w:adjustRightInd/>
              <w:snapToGrid/>
              <w:spacing w:after="0" w:line="500" w:lineRule="exact"/>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序号</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权力事项名称</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权力类型</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设 定 依 据</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原实施主体</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县级</w:t>
            </w:r>
          </w:p>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主管部门</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cs="宋体"/>
                <w:b/>
                <w:bCs/>
                <w:kern w:val="2"/>
                <w:sz w:val="24"/>
                <w:szCs w:val="24"/>
                <w:vertAlign w:val="baseline"/>
                <w:lang w:val="en-US" w:eastAsia="zh-CN" w:bidi="ar-SA"/>
              </w:rPr>
            </w:pPr>
            <w:r>
              <w:rPr>
                <w:rFonts w:hint="eastAsia" w:ascii="宋体" w:hAnsi="宋体" w:cs="宋体"/>
                <w:b/>
                <w:bCs/>
                <w:kern w:val="2"/>
                <w:sz w:val="24"/>
                <w:szCs w:val="24"/>
                <w:vertAlign w:val="baseline"/>
                <w:lang w:val="en-US" w:eastAsia="zh-CN" w:bidi="ar-SA"/>
              </w:rPr>
              <w:t>权利事项承接</w:t>
            </w:r>
          </w:p>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宋体" w:hAnsi="宋体" w:eastAsia="宋体" w:cs="宋体"/>
                <w:b/>
                <w:bCs/>
                <w:kern w:val="2"/>
                <w:sz w:val="24"/>
                <w:szCs w:val="24"/>
                <w:vertAlign w:val="baseline"/>
                <w:lang w:val="en-US" w:eastAsia="zh-CN" w:bidi="ar-SA"/>
              </w:rPr>
            </w:pPr>
            <w:r>
              <w:rPr>
                <w:rFonts w:hint="eastAsia" w:ascii="宋体" w:hAnsi="宋体" w:cs="宋体"/>
                <w:b/>
                <w:bCs/>
                <w:kern w:val="2"/>
                <w:sz w:val="24"/>
                <w:szCs w:val="24"/>
                <w:vertAlign w:val="baseline"/>
                <w:lang w:val="en-US" w:eastAsia="zh-CN" w:bidi="ar-SA"/>
              </w:rPr>
              <w:t>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FF"/>
                <w:kern w:val="0"/>
                <w:sz w:val="24"/>
                <w:szCs w:val="24"/>
                <w:u w:val="none"/>
                <w:lang w:val="en-US" w:eastAsia="zh-CN" w:bidi="ar"/>
              </w:rPr>
              <w:t>1</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对占用耕地建窑、建坟或者擅自在耕地上建房、挖砂、采石、采矿、取土等，破坏种植条件的，或者因开发土地造成土地荒漠化、盐渍化的处罚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《中华人民共和国土地管理法》第七十五条</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《中华人民共和国土地管理法实施条例》第五十五条</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县级以上人民政府自然资源主管部门、农业农村主管部门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县自然资源局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对未经批准或者采取欺骗手段骗取批准，非法占用土地的处罚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《中华人民共和国土地管理法》第七十七条</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《中华人民共和国土地管理法实施条例》第五十七条第一款</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县级以上人民政府自然资源主管部门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县自然资源局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对占用基本农田建窑、建房、建坟、挖砂、采石、采矿、取土、堆放固体废弃物或者从事其他活动破坏基本农田，毁坏种植条件的处罚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《基本农田保护条例》第三十三条</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县级以上人民政府土地行政主管部门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县自然资源局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对擅自在草原上开展经营性旅游活动，破坏草原植被的处罚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《中华人民共和国草原法》</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第五十二条、第六十九条</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旗县（市、区）草原行政主管部门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县林业和草原局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对买卖或者以其他形式非法转让草原的处罚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《中华人民共和国草原法》</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第六十四条</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旗县（市、区）草原行政主管部门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县林业和草原局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对机动车辆离开道路在草原上行驶,或者未按照确定的行驶区域和行驶路线在草原上行驶，破坏草原植被的处罚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《中华人民共和国草原法》</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第七十条</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旗县（市、区）草原行政主管部门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县林业和草原局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对不签订草畜平衡责任书的处罚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《内蒙古自治区草原管理条例》</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第三十一条、第四十六条第二款</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旗县（市、区）草原监督管理机构</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县林业和草原局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对在基本草原上超过核定的载畜量放牧的处罚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《内蒙古自治区基本草原保护条例》第三十八条第一项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旗县（市、区）草原监督管理机构</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县林业和草原局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对在实行禁牧休牧的基本草原上放牧的处罚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《内蒙古自治区基本草原保护条例》第三十八条第二项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旗县（市、区）草原监督管理机构</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县林业和草原局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对草原围栏建设中因阻断道路对草原造成碾压破坏的处罚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《内蒙古自治区草原管理条例实施细则》第四十五条、第五十二条</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旗县（市、区）草原监督管理机构</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县林业和草原局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未对设在城市道路上的各种管线的检查井、箱盖或者城市道路附属设施的缺损及时补缺或者修复的处罚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第四十二条第一项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旗县（市、区）市政工程行政主管部门或者其他有关部门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县住房和城乡建设局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对未在城市道路施工现场设置明显标志和安全防围设施的处罚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第四十二条第二项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旗县（市、区）市政工程行政主管部门或者其他有关部门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县住房和城乡建设局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对占用城市道路期满或者挖掘城市道路后，不及时清理现场的处罚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第四十二条第三项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旗县（市、区）市政工程行政主管部门或者其他有关部门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县住房和城乡建设局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对依附于城市道路建设各种管线、杆线等设施，不按照规定办理批准手续的处罚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第四十二条第四项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旗县（市、区）市政工程行政主管部门或者其他有关部门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县住房和城乡建设局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对紧急抢修埋设在城市道路下的管线，不按照规定补办批准手续的处罚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第四十二条第五项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旗县（市、区）市政工程行政主管部门或者其他有关部门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县住房和城乡建设局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对未按照批准的位置、面积、期限占用或者挖掘城市道路，或者需要移动位置、扩大面积、延长时间的，未提前办理变更审批手续的处罚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《城市道路管理条例》</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第四十二条第六项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旗县（市、区）市政工程行政主管部门或者其他有关部门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县住房和城乡建设局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对在河道、湖泊管理范围内建设妨碍行洪的建筑物、构筑物的处罚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《中华人民共和国防洪法》</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第五十五条第一项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旗县（市、区）水行政主管部门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县水务局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对在河道、湖泊管理范围内倾倒垃圾、渣土，从事影响河势稳定、危害河岸堤防安全和其他妨碍河道行洪的活动的处罚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《中华人民共和国防洪法》</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第五十五条第二项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旗县（市、区）水行政主管部门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县水务局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对在江河、湖泊、水库、运河、渠道内弃置、堆放阻碍行洪的物体和种植阻碍行洪的林木及高秆作物的处罚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《中华人民共和国水法》</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第六十六条第一项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旗县（市、区）水行政主管部门或者流域管理机构</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县水务局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对围湖造地或者未经批准围垦河道的处罚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《中华人民共和国水法》</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第六十六条第二项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旗县（市、区）水行政主管部门或者流域管理机构</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县水务局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对在崩塌、滑坡危险区或者泥石流易发区从事取土、挖砂、采石等可能造成水土流失的活动的处罚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第四十八条</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旗县（市、区）水行政主管部门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县水务局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对在禁止开垦坡度以上陡坡地开垦种植农作物，或者在禁止开垦、开发的植物保护带内开垦、开发的处罚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第四十九条</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旗县（市、区）水行政主管部门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县水务局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对采集发菜，或者在水土流失重点预防区和重点治理区铲草皮、挖树兜、滥挖虫草、甘草、麻黄等的处罚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第五十一条</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旗县（市、区）水行政主管部门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县水务局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对在林区采伐林木不依法采取防止水土流失措施的处罚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第五十二条</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旗县（市、区）水行政主管部门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县水务局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对在水土保持方案确定的专门存放地以外的区域倾倒砂、石、土、矸石、尾矿、废渣等的处罚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第五十五条</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旗县（市、区）水行政主管部门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县水务局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对开办生产建设项目或者从事其他生产建设活动造成水土流失不进行治理的处罚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第五十六条</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旗县（市、区）水行政主管部门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县水务局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对在河道管理范围内弃置、堆放阻碍行洪物体的；种植阻碍行洪的林木或者高秆植物的；修建围堤、阻水渠道、阻水道路的处罚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《中华人民共和国河道管理条例》第四十四条第一项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旗县（市、区）河道主管机关</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县水务局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对在堤防、护堤地建房、放牧、开渠、打井、挖窖、葬坟、晒粮、存放物料、开采地下资源、进行考古发掘以及开展集市贸易活动的处罚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《中华人民共和国河道管理条例》第四十四条第二项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旗县（市、区）河道主管机关</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县水务局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5"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对擅自砍伐护堤护岸林木的处罚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《中华人民共和国河道管理条例》第四十四条第七项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旗县（市、区）河道主管机关</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县水务局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对在堤防安全保护区内进行打井、钻探、爆破、挖筑鱼塘、采石、取土等危害堤防安全的活动的处罚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《中华人民共和国河道管理条例》第四十五条第二项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旗县（市、区）河道主管机关</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县水务局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对侵占、破坏水源和抗旱设施的处罚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《中华人民共和国抗旱条例》</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第六十一条</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旗县（市、区）水行政主管部门或者流域管理机构</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县水务局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对在城市人民政府规定的街道的临街建筑物的阳台和窗外，堆放、吊挂有碍市容的物品的处罚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《城市市容和环境卫生管理条例》第三十四条第三项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旗县（市、区）市容环境卫生行政主管部门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县住房和城乡建设局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对在城市建筑物、设施以及树木上涂写、刻画或者未经批准张挂、张贴宣传品等的处罚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第三条第二项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旗县（市、区）市容环境卫生行政主管部门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县住房和城乡建设局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322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对不按规定的时间、地点、方式，倾倒垃圾、污水、粪便的处罚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第三条第四项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旗县（市、区）市容环境卫生行政主管部门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县住房和城乡建设局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对临街工地不设置护栏或者不作遮挡、停工场地不及时整理并作必要覆盖或者竣工后不及时清理和平整场地，影响市容和环境卫生的处罚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第三条第七项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旗县（市、区）市容环境卫生行政主管部门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县住房和城乡建设局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对擅自设置大型户外广告标牌设施，影响市容的处罚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第五条第一项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旗县（市、区）市容环境卫生行政主管部门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县住房和城乡建设局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对擅自在街道两侧和公共场地堆放物料，搭建建筑物、构筑物或者其他设施，影响市容的处罚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《内蒙古自治区城市市容和环境卫生违法行为处罚规定》</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第五条第二项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旗县（市、区）市容环境卫生行政主管部门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县住房和城乡建设局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对不自觉维护公共卫生，不爱护公共卫生设施的处罚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《内蒙古自治区爱国卫生条例》</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第十五条、第二十五条第一项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旗县（市、区）爱卫会办公室</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县卫生健康委员会</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对未按规定实行包门前卫生、包绿化美化硬化、包管理的“门前三包”制度的处罚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《内蒙古自治区爱国卫生条例》</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第十六条、第二十五条第二项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旗县（市、区）爱卫会办公室</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县卫生健康委员会</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《中华人民共和国土壤污染防治法》第八十八条</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地方人民政府农业农村主管部门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县农牧局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对农产品生产企业、农民专业合作社、从事农产品收购的单位或者个人未按照规定开具承诺达标合格证的处罚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《中华人民共和国农产品质量安全法》第七十三条第一项</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县级以上地方人民政府农业农村主管部门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县农牧局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42</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B0F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对在人口集中地区对树木、花草喷洒剧毒、高毒农药，或者露天焚烧秸秆、落叶等产生烟尘污染的物质的处罚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B0F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《中华人民共和国大气污染防治法》第一百一十九条第一款 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B0F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第五条　县级以上人民政府生态环境主管部门对大气污染防治实施统一监督管理。县级以上人民政府其他有关部门在各自职责范围内对大气污染防治实施监督管理。</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00B0F0"/>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县级以上地方人民政府确定的监督管理部门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00B0F0"/>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县住房和城乡建设局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blHead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default" w:ascii="仿宋_GB2312" w:hAnsi="仿宋_GB2312" w:eastAsia="仿宋_GB2312" w:cs="仿宋_GB2312"/>
                <w:i w:val="0"/>
                <w:iCs w:val="0"/>
                <w:color w:val="00B0F0"/>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43</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B0F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对破坏或者擅自改变基本农田保护区标志的处罚</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center"/>
              <w:textAlignment w:val="center"/>
              <w:rPr>
                <w:rFonts w:hint="eastAsia" w:ascii="仿宋_GB2312" w:hAnsi="仿宋_GB2312" w:eastAsia="仿宋_GB2312" w:cs="仿宋_GB2312"/>
                <w:i w:val="0"/>
                <w:iCs w:val="0"/>
                <w:color w:val="00B0F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行政处罚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仿宋_GB2312" w:hAnsi="仿宋_GB2312" w:eastAsia="仿宋_GB2312" w:cs="仿宋_GB2312"/>
                <w:i w:val="0"/>
                <w:iCs w:val="0"/>
                <w:color w:val="00B0F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《基本农田保护条例》第三十二条  </w:t>
            </w:r>
            <w:r>
              <w:rPr>
                <w:rFonts w:hint="eastAsia" w:ascii="仿宋_GB2312" w:hAnsi="仿宋_GB2312" w:eastAsia="仿宋_GB2312" w:cs="仿宋_GB2312"/>
                <w:i w:val="0"/>
                <w:iCs w:val="0"/>
                <w:caps w:val="0"/>
                <w:color w:val="333333"/>
                <w:spacing w:val="0"/>
                <w:sz w:val="24"/>
                <w:szCs w:val="24"/>
                <w:shd w:val="clear" w:color="auto" w:fill="FFFFFF"/>
              </w:rPr>
              <w:t>违反本条例规定，破坏或者擅自改变基本农田保护区标志的，由县级以上地方人民政府土地行政主管部门或者农业行政主管部门责令恢复原状，可以处1000元以下罚款。</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00B0F0"/>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县级以上地方人民政府土地行政主管部门或者农业行政主管部门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jc w:val="both"/>
              <w:textAlignment w:val="center"/>
              <w:rPr>
                <w:rFonts w:hint="eastAsia" w:ascii="仿宋_GB2312" w:hAnsi="仿宋_GB2312" w:eastAsia="仿宋_GB2312" w:cs="仿宋_GB2312"/>
                <w:i w:val="0"/>
                <w:iCs w:val="0"/>
                <w:color w:val="00B0F0"/>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县自然资源局</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i w:val="0"/>
                <w:iCs w:val="0"/>
                <w:color w:val="auto"/>
                <w:kern w:val="2"/>
                <w:sz w:val="24"/>
                <w:szCs w:val="24"/>
                <w:highlight w:val="none"/>
                <w:u w:val="none" w:color="auto"/>
                <w:lang w:val="en-US" w:eastAsia="zh-CN" w:bidi="ar-SA"/>
              </w:rPr>
            </w:pPr>
            <w:r>
              <w:rPr>
                <w:rFonts w:hint="eastAsia" w:ascii="仿宋_GB2312" w:hAnsi="仿宋_GB2312" w:eastAsia="仿宋_GB2312" w:cs="仿宋_GB2312"/>
                <w:i w:val="0"/>
                <w:iCs w:val="0"/>
                <w:color w:val="auto"/>
                <w:kern w:val="2"/>
                <w:sz w:val="24"/>
                <w:szCs w:val="24"/>
                <w:highlight w:val="none"/>
                <w:u w:val="none" w:color="auto"/>
                <w:lang w:val="en-US" w:eastAsia="zh-CN" w:bidi="ar-SA"/>
              </w:rPr>
              <w:t>怀朔镇</w:t>
            </w:r>
          </w:p>
        </w:tc>
      </w:tr>
    </w:tbl>
    <w:p/>
    <w:p>
      <w:pPr>
        <w:ind w:firstLine="5440" w:firstLineChars="1700"/>
        <w:rPr>
          <w:rFonts w:hint="eastAsia" w:ascii="仿宋_GB2312" w:hAnsi="仿宋_GB2312" w:eastAsia="仿宋_GB2312" w:cs="仿宋_GB2312"/>
          <w:sz w:val="32"/>
          <w:szCs w:val="32"/>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NGU0ZjJkNDg5Y2Q4NDUyYjIwZTU3YjQ5MTI2OWEifQ=="/>
  </w:docVars>
  <w:rsids>
    <w:rsidRoot w:val="713F2ADD"/>
    <w:rsid w:val="1CFF1CE4"/>
    <w:rsid w:val="28B87E78"/>
    <w:rsid w:val="455A3A78"/>
    <w:rsid w:val="4E307963"/>
    <w:rsid w:val="53AEF8D0"/>
    <w:rsid w:val="713F2ADD"/>
    <w:rsid w:val="72166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1956</Words>
  <Characters>1982</Characters>
  <Lines>0</Lines>
  <Paragraphs>0</Paragraphs>
  <TotalTime>40</TotalTime>
  <ScaleCrop>false</ScaleCrop>
  <LinksUpToDate>false</LinksUpToDate>
  <CharactersWithSpaces>1995</CharactersWithSpaces>
  <Application>WPS Office_12.8.2.17001_F1E327BC-269C-435d-A152-05C5408002CA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2024-11-22T10:43:00Z</dcterms:created>
  <dc:creator>NTKO</dc:creator>
  <cp:lastModifiedBy>流浪</cp:lastModifiedBy>
  <cp:lastPrinted>2024-11-25T12:51:00Z</cp:lastPrinted>
  <dcterms:modified xsi:type="dcterms:W3CDTF">2024-11-25T17:24:10Z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2052-12.8.2.17001</vt:lpwstr>
  </property>
  <property fmtid="{D5CDD505-2E9C-101B-9397-08002B2CF9AE}" pid="3" name="ICV">
    <vt:lpwstr>98115C11ED10497FB549FEE00D8CBD42_13</vt:lpwstr>
  </property>
</Properties>
</file>