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default" w:ascii="方正小标宋简体" w:hAnsi="方正小标宋简体" w:eastAsia="方正小标宋简体" w:cs="方正小标宋简体"/>
          <w:b w:val="0"/>
          <w:bCs w:val="0"/>
          <w:i w:val="0"/>
          <w:iCs w:val="0"/>
          <w:caps w:val="0"/>
          <w:color w:val="333333"/>
          <w:spacing w:val="0"/>
          <w:sz w:val="44"/>
          <w:szCs w:val="44"/>
          <w:u w:val="none"/>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lang w:val="en-US" w:eastAsia="zh-CN"/>
        </w:rPr>
        <w:t>固阳县</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交通运输局</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lang w:val="en-US" w:eastAsia="zh-CN"/>
        </w:rPr>
        <w:t>2024年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u w:val="none"/>
        </w:rPr>
      </w:pP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政府信息公开工作年度报告</w:t>
      </w:r>
    </w:p>
    <w:p>
      <w:pPr>
        <w:spacing w:line="244" w:lineRule="auto"/>
        <w:rPr>
          <w:rFonts w:ascii="Arial"/>
          <w:sz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226" w:beforeAutospacing="0" w:after="226" w:afterAutospacing="0" w:line="578" w:lineRule="exact"/>
        <w:ind w:left="0" w:right="0"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根据《中华人民共和国政府信息公开条例》（以下简称《条例》）要求，现向社会公布本局2024年政府信息公开工作年度报告。本报告由总体情况，主动公开政府信息情况，收到和处理政府信息公开申请情况，政府信息公开行政复议、行政诉讼情况，存在的主要问题及改进情况，其他需要报告的事项等六部分组成。年报中所列数据统计期限自2024年1月1日起至2024年12月31日止。</w:t>
      </w:r>
    </w:p>
    <w:p>
      <w:pPr>
        <w:keepNext w:val="0"/>
        <w:keepLines w:val="0"/>
        <w:pageBreakBefore w:val="0"/>
        <w:numPr>
          <w:ilvl w:val="0"/>
          <w:numId w:val="1"/>
        </w:numPr>
        <w:wordWrap/>
        <w:overflowPunct/>
        <w:topLinePunct w:val="0"/>
        <w:bidi w:val="0"/>
        <w:spacing w:before="262" w:line="578" w:lineRule="exact"/>
        <w:ind w:right="82" w:firstLine="640" w:firstLineChars="200"/>
        <w:jc w:val="left"/>
        <w:rPr>
          <w:rFonts w:hint="eastAsia" w:ascii="黑体" w:hAnsi="黑体" w:eastAsia="黑体" w:cs="黑体"/>
          <w:spacing w:val="0"/>
          <w:position w:val="21"/>
          <w:sz w:val="32"/>
          <w:szCs w:val="32"/>
          <w:lang w:val="en-US" w:eastAsia="zh-CN"/>
        </w:rPr>
      </w:pPr>
      <w:r>
        <w:rPr>
          <w:rFonts w:hint="eastAsia" w:ascii="黑体" w:hAnsi="黑体" w:eastAsia="黑体" w:cs="黑体"/>
          <w:spacing w:val="0"/>
          <w:position w:val="21"/>
          <w:sz w:val="32"/>
          <w:szCs w:val="32"/>
          <w:lang w:val="en-US" w:eastAsia="zh-CN"/>
        </w:rPr>
        <w:t>总体情况</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Times New Roman"/>
          <w:snapToGrid/>
          <w:kern w:val="2"/>
          <w:sz w:val="32"/>
          <w:szCs w:val="32"/>
          <w:lang w:val="en-US" w:eastAsia="zh-CN"/>
        </w:rPr>
      </w:pPr>
      <w:r>
        <w:rPr>
          <w:rFonts w:hint="eastAsia" w:ascii="仿宋_GB2312" w:hAnsi="宋体" w:eastAsia="仿宋_GB2312" w:cs="Times New Roman"/>
          <w:snapToGrid/>
          <w:kern w:val="2"/>
          <w:sz w:val="32"/>
          <w:szCs w:val="32"/>
          <w:lang w:val="en-US" w:eastAsia="zh-CN"/>
        </w:rPr>
        <w:t>主动公开情况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i w:val="0"/>
          <w:iCs w:val="0"/>
          <w:caps w:val="0"/>
          <w:color w:val="000000"/>
          <w:spacing w:val="0"/>
          <w:sz w:val="32"/>
          <w:szCs w:val="32"/>
        </w:rPr>
        <w:t>县交通运输局严格按照《中华人民共和国政府信息公开条例》要求，落实专人负责统筹、协调、编制、公布政府信息公开内容，保障政府信息及时公开到位，严格执行政府信息公开审核制度，坚持先审后发，真正做到</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谁起草、谁解读、谁负责</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的相关要求，确保上传的信息资源权威、准确、及时。</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年，我局通过固阳县人民政府网站-</w:t>
      </w:r>
      <w:r>
        <w:rPr>
          <w:rFonts w:hint="eastAsia" w:ascii="仿宋_GB2312" w:hAnsi="仿宋_GB2312" w:eastAsia="仿宋_GB2312" w:cs="仿宋_GB2312"/>
          <w:sz w:val="32"/>
          <w:szCs w:val="32"/>
          <w:lang w:val="en-US" w:eastAsia="zh-CN"/>
        </w:rPr>
        <w:t>依法行政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固阳县本级证明事项清单-政务服务事项告知单</w:t>
      </w:r>
      <w:r>
        <w:rPr>
          <w:rFonts w:hint="eastAsia" w:ascii="仿宋_GB2312" w:hAnsi="仿宋_GB2312" w:eastAsia="仿宋_GB2312" w:cs="仿宋_GB2312"/>
          <w:sz w:val="32"/>
          <w:szCs w:val="32"/>
        </w:rPr>
        <w:t>专栏，及时公开</w:t>
      </w:r>
      <w:r>
        <w:rPr>
          <w:rFonts w:hint="eastAsia" w:ascii="仿宋_GB2312" w:hAnsi="仿宋_GB2312" w:eastAsia="仿宋_GB2312" w:cs="仿宋_GB2312"/>
          <w:sz w:val="32"/>
          <w:szCs w:val="32"/>
          <w:lang w:val="en-US" w:eastAsia="zh-CN"/>
        </w:rPr>
        <w:t>了固阳县交通运输局事项清单</w:t>
      </w:r>
      <w:r>
        <w:rPr>
          <w:rFonts w:hint="eastAsia" w:ascii="仿宋_GB2312" w:hAnsi="仿宋_GB2312" w:eastAsia="仿宋_GB2312" w:cs="仿宋_GB2312"/>
          <w:snapToGrid/>
          <w:kern w:val="2"/>
          <w:sz w:val="32"/>
          <w:szCs w:val="32"/>
          <w:lang w:val="en-US" w:eastAsia="zh-CN"/>
        </w:rPr>
        <w:t>36条。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Times New Roman"/>
          <w:snapToGrid/>
          <w:kern w:val="2"/>
          <w:sz w:val="32"/>
          <w:szCs w:val="32"/>
          <w:lang w:val="en-US" w:eastAsia="zh-CN"/>
        </w:rPr>
      </w:pPr>
      <w:r>
        <w:rPr>
          <w:rFonts w:hint="eastAsia" w:ascii="仿宋_GB2312" w:hAnsi="宋体" w:eastAsia="仿宋_GB2312" w:cs="Times New Roman"/>
          <w:snapToGrid/>
          <w:kern w:val="2"/>
          <w:sz w:val="32"/>
          <w:szCs w:val="32"/>
          <w:lang w:val="en-US" w:eastAsia="zh-CN"/>
        </w:rPr>
        <w:t>(二)依申请公开情况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225" w:beforeAutospacing="0" w:after="225" w:afterAutospacing="0" w:line="578" w:lineRule="exact"/>
        <w:ind w:left="0" w:right="0" w:firstLine="643"/>
        <w:jc w:val="both"/>
        <w:rPr>
          <w:rFonts w:hint="eastAsia" w:ascii="仿宋_GB2312" w:hAnsi="微软雅黑" w:eastAsia="仿宋_GB2312" w:cs="仿宋_GB2312"/>
          <w:i w:val="0"/>
          <w:iCs w:val="0"/>
          <w:caps w:val="0"/>
          <w:color w:val="000000"/>
          <w:spacing w:val="0"/>
          <w:kern w:val="2"/>
          <w:sz w:val="32"/>
          <w:szCs w:val="32"/>
          <w:lang w:bidi="ar-SA"/>
        </w:rPr>
      </w:pPr>
      <w:r>
        <w:rPr>
          <w:rFonts w:hint="default" w:ascii="仿宋_GB2312" w:hAnsi="微软雅黑" w:eastAsia="仿宋_GB2312" w:cs="仿宋_GB2312"/>
          <w:i w:val="0"/>
          <w:iCs w:val="0"/>
          <w:caps w:val="0"/>
          <w:color w:val="000000"/>
          <w:spacing w:val="0"/>
          <w:kern w:val="2"/>
          <w:sz w:val="32"/>
          <w:szCs w:val="32"/>
          <w:lang w:bidi="ar-SA"/>
        </w:rPr>
        <w:t>截至202</w:t>
      </w:r>
      <w:r>
        <w:rPr>
          <w:rFonts w:hint="eastAsia" w:ascii="仿宋_GB2312" w:hAnsi="微软雅黑" w:eastAsia="仿宋_GB2312" w:cs="仿宋_GB2312"/>
          <w:i w:val="0"/>
          <w:iCs w:val="0"/>
          <w:caps w:val="0"/>
          <w:color w:val="000000"/>
          <w:spacing w:val="0"/>
          <w:kern w:val="2"/>
          <w:sz w:val="32"/>
          <w:szCs w:val="32"/>
          <w:lang w:val="en-US" w:eastAsia="zh-CN" w:bidi="ar-SA"/>
        </w:rPr>
        <w:t>4</w:t>
      </w:r>
      <w:r>
        <w:rPr>
          <w:rFonts w:hint="default" w:ascii="仿宋_GB2312" w:hAnsi="微软雅黑" w:eastAsia="仿宋_GB2312" w:cs="仿宋_GB2312"/>
          <w:i w:val="0"/>
          <w:iCs w:val="0"/>
          <w:caps w:val="0"/>
          <w:color w:val="000000"/>
          <w:spacing w:val="0"/>
          <w:kern w:val="2"/>
          <w:sz w:val="32"/>
          <w:szCs w:val="32"/>
          <w:lang w:bidi="ar-SA"/>
        </w:rPr>
        <w:t>年12月底，</w:t>
      </w:r>
      <w:r>
        <w:rPr>
          <w:rFonts w:hint="eastAsia" w:ascii="仿宋_GB2312" w:hAnsi="微软雅黑" w:eastAsia="仿宋_GB2312" w:cs="仿宋_GB2312"/>
          <w:i w:val="0"/>
          <w:iCs w:val="0"/>
          <w:caps w:val="0"/>
          <w:color w:val="000000"/>
          <w:spacing w:val="0"/>
          <w:kern w:val="2"/>
          <w:sz w:val="32"/>
          <w:szCs w:val="32"/>
          <w:lang w:eastAsia="zh-CN" w:bidi="ar-SA"/>
        </w:rPr>
        <w:t>我局未收到需要</w:t>
      </w:r>
      <w:r>
        <w:rPr>
          <w:rFonts w:hint="default" w:ascii="仿宋_GB2312" w:hAnsi="微软雅黑" w:eastAsia="仿宋_GB2312" w:cs="仿宋_GB2312"/>
          <w:i w:val="0"/>
          <w:iCs w:val="0"/>
          <w:caps w:val="0"/>
          <w:color w:val="000000"/>
          <w:spacing w:val="0"/>
          <w:kern w:val="2"/>
          <w:sz w:val="32"/>
          <w:szCs w:val="32"/>
          <w:lang w:bidi="ar-SA"/>
        </w:rPr>
        <w:t>受理</w:t>
      </w:r>
      <w:r>
        <w:rPr>
          <w:rFonts w:hint="eastAsia" w:ascii="仿宋_GB2312" w:hAnsi="微软雅黑" w:eastAsia="仿宋_GB2312" w:cs="仿宋_GB2312"/>
          <w:i w:val="0"/>
          <w:iCs w:val="0"/>
          <w:caps w:val="0"/>
          <w:color w:val="000000"/>
          <w:spacing w:val="0"/>
          <w:kern w:val="2"/>
          <w:sz w:val="32"/>
          <w:szCs w:val="32"/>
          <w:lang w:eastAsia="zh-CN" w:bidi="ar-SA"/>
        </w:rPr>
        <w:t>的</w:t>
      </w:r>
      <w:r>
        <w:rPr>
          <w:rFonts w:hint="default" w:ascii="仿宋_GB2312" w:hAnsi="微软雅黑" w:eastAsia="仿宋_GB2312" w:cs="仿宋_GB2312"/>
          <w:i w:val="0"/>
          <w:iCs w:val="0"/>
          <w:caps w:val="0"/>
          <w:color w:val="000000"/>
          <w:spacing w:val="0"/>
          <w:kern w:val="2"/>
          <w:sz w:val="32"/>
          <w:szCs w:val="32"/>
          <w:lang w:bidi="ar-SA"/>
        </w:rPr>
        <w:t>政府信息公开申请件，未发生行政复议或行政诉讼情况。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225" w:beforeAutospacing="0" w:after="225" w:afterAutospacing="0" w:line="578" w:lineRule="exact"/>
        <w:ind w:left="643" w:leftChars="0" w:right="0" w:rightChars="0"/>
        <w:jc w:val="both"/>
        <w:rPr>
          <w:rFonts w:hint="eastAsia" w:ascii="仿宋_GB2312" w:hAnsi="宋体" w:eastAsia="仿宋_GB2312" w:cs="Times New Roman"/>
          <w:snapToGrid/>
          <w:kern w:val="2"/>
          <w:sz w:val="32"/>
          <w:szCs w:val="32"/>
          <w:lang w:val="en-US" w:eastAsia="zh-CN"/>
        </w:rPr>
      </w:pPr>
      <w:r>
        <w:rPr>
          <w:rFonts w:hint="eastAsia" w:ascii="仿宋_GB2312" w:hAnsi="宋体" w:eastAsia="仿宋_GB2312" w:cs="Times New Roman"/>
          <w:snapToGrid/>
          <w:kern w:val="2"/>
          <w:sz w:val="32"/>
          <w:szCs w:val="32"/>
          <w:lang w:val="en-US" w:eastAsia="zh-CN"/>
        </w:rPr>
        <w:t>（三）政府信息管理情况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225" w:beforeAutospacing="0" w:after="225" w:afterAutospacing="0" w:line="578" w:lineRule="exact"/>
        <w:ind w:right="0" w:rightChars="0" w:firstLine="640" w:firstLineChars="200"/>
        <w:jc w:val="both"/>
        <w:rPr>
          <w:rFonts w:hint="eastAsia" w:ascii="仿宋_GB2312" w:hAnsi="微软雅黑" w:eastAsia="仿宋_GB2312" w:cs="仿宋_GB2312"/>
          <w:i w:val="0"/>
          <w:iCs w:val="0"/>
          <w:caps w:val="0"/>
          <w:color w:val="000000"/>
          <w:spacing w:val="0"/>
          <w:kern w:val="2"/>
          <w:sz w:val="32"/>
          <w:szCs w:val="32"/>
          <w:lang w:val="en-US" w:eastAsia="zh-CN" w:bidi="ar-SA"/>
        </w:rPr>
      </w:pPr>
      <w:r>
        <w:rPr>
          <w:rFonts w:hint="default" w:ascii="仿宋_GB2312" w:hAnsi="微软雅黑" w:eastAsia="仿宋_GB2312" w:cs="仿宋_GB2312"/>
          <w:i w:val="0"/>
          <w:iCs w:val="0"/>
          <w:caps w:val="0"/>
          <w:color w:val="000000"/>
          <w:spacing w:val="0"/>
          <w:kern w:val="2"/>
          <w:sz w:val="32"/>
          <w:szCs w:val="32"/>
          <w:lang w:bidi="ar-SA"/>
        </w:rPr>
        <w:t>根据新《条例》规定，设立专人对信息进行规范管理，加强信息内容建设和信息发布审核，把好政治关、政策关、文字关</w:t>
      </w:r>
      <w:r>
        <w:rPr>
          <w:rFonts w:hint="eastAsia" w:ascii="仿宋_GB2312" w:hAnsi="微软雅黑" w:eastAsia="仿宋_GB2312" w:cs="仿宋_GB2312"/>
          <w:i w:val="0"/>
          <w:iCs w:val="0"/>
          <w:caps w:val="0"/>
          <w:color w:val="000000"/>
          <w:spacing w:val="0"/>
          <w:kern w:val="2"/>
          <w:sz w:val="32"/>
          <w:szCs w:val="32"/>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left"/>
        <w:textAlignment w:val="auto"/>
        <w:rPr>
          <w:rFonts w:hint="eastAsia" w:ascii="仿宋_GB2312" w:hAnsi="宋体" w:eastAsia="仿宋_GB2312" w:cs="Times New Roman"/>
          <w:snapToGrid/>
          <w:kern w:val="2"/>
          <w:sz w:val="32"/>
          <w:szCs w:val="32"/>
          <w:lang w:val="en-US" w:eastAsia="zh-CN"/>
        </w:rPr>
      </w:pPr>
      <w:r>
        <w:rPr>
          <w:rFonts w:hint="eastAsia" w:ascii="仿宋_GB2312" w:hAnsi="宋体" w:eastAsia="仿宋_GB2312" w:cs="Times New Roman"/>
          <w:snapToGrid/>
          <w:kern w:val="2"/>
          <w:sz w:val="32"/>
          <w:szCs w:val="32"/>
          <w:lang w:val="en-US" w:eastAsia="zh-CN"/>
        </w:rPr>
        <w:t>（四）政府信息平台建设情况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225" w:beforeAutospacing="0" w:after="225" w:afterAutospacing="0" w:line="578" w:lineRule="exact"/>
        <w:ind w:left="0" w:right="0" w:firstLine="643"/>
        <w:jc w:val="both"/>
        <w:rPr>
          <w:rFonts w:hint="eastAsia" w:ascii="仿宋_GB2312" w:hAnsi="仿宋_GB2312" w:eastAsia="仿宋_GB2312" w:cs="仿宋_GB2312"/>
          <w:sz w:val="32"/>
          <w:szCs w:val="32"/>
        </w:rPr>
      </w:pPr>
      <w:r>
        <w:rPr>
          <w:rFonts w:hint="default" w:ascii="仿宋_GB2312" w:hAnsi="微软雅黑" w:eastAsia="仿宋_GB2312" w:cs="仿宋_GB2312"/>
          <w:i w:val="0"/>
          <w:iCs w:val="0"/>
          <w:caps w:val="0"/>
          <w:color w:val="000000"/>
          <w:spacing w:val="0"/>
          <w:kern w:val="2"/>
          <w:sz w:val="32"/>
          <w:szCs w:val="32"/>
          <w:lang w:bidi="ar-SA"/>
        </w:rPr>
        <w:t>我局进一步规范政府信息公开工作</w:t>
      </w:r>
      <w:r>
        <w:rPr>
          <w:rFonts w:hint="eastAsia" w:ascii="仿宋_GB2312" w:hAnsi="微软雅黑" w:eastAsia="仿宋_GB2312" w:cs="仿宋_GB2312"/>
          <w:i w:val="0"/>
          <w:iCs w:val="0"/>
          <w:caps w:val="0"/>
          <w:color w:val="000000"/>
          <w:spacing w:val="0"/>
          <w:kern w:val="2"/>
          <w:sz w:val="32"/>
          <w:szCs w:val="32"/>
          <w:lang w:bidi="ar-SA"/>
        </w:rPr>
        <w:t>，注重加强和完善政府信息公开制度工作，提高信息公开质量。提升我局政府信息公开工作水平，主要做法：公开的内容更加充实。我局对政府信息公开的范围、政府信息公开的内容、政府信息公开的形式、政府信息公开的制度等做了进一步的明确，做好政府信息公开网站及时公开单位信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225" w:beforeAutospacing="0" w:after="225" w:afterAutospacing="0" w:line="578" w:lineRule="exact"/>
        <w:ind w:left="643" w:leftChars="0" w:right="0" w:rightChars="0"/>
        <w:jc w:val="both"/>
        <w:rPr>
          <w:rFonts w:hint="eastAsia" w:ascii="仿宋_GB2312" w:hAnsi="宋体" w:eastAsia="仿宋_GB2312" w:cs="Times New Roman"/>
          <w:snapToGrid/>
          <w:kern w:val="2"/>
          <w:sz w:val="32"/>
          <w:szCs w:val="32"/>
          <w:lang w:val="en-US" w:eastAsia="zh-CN"/>
        </w:rPr>
      </w:pPr>
      <w:r>
        <w:rPr>
          <w:rFonts w:hint="eastAsia" w:ascii="仿宋_GB2312" w:hAnsi="宋体" w:eastAsia="仿宋_GB2312" w:cs="Times New Roman"/>
          <w:snapToGrid/>
          <w:kern w:val="2"/>
          <w:sz w:val="32"/>
          <w:szCs w:val="32"/>
          <w:lang w:val="en-US" w:eastAsia="zh-CN"/>
        </w:rPr>
        <w:t>（五）监督保障情况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225" w:beforeAutospacing="0" w:after="225" w:afterAutospacing="0" w:line="578" w:lineRule="exact"/>
        <w:ind w:right="0" w:rightChars="0" w:firstLine="640" w:firstLineChars="200"/>
        <w:jc w:val="both"/>
        <w:rPr>
          <w:rFonts w:hint="eastAsia" w:ascii="仿宋_GB2312" w:hAnsi="宋体" w:eastAsia="仿宋_GB2312" w:cs="Times New Roman"/>
          <w:snapToGrid/>
          <w:kern w:val="2"/>
          <w:sz w:val="32"/>
          <w:szCs w:val="32"/>
          <w:lang w:val="en-US" w:eastAsia="zh-CN"/>
        </w:rPr>
      </w:pPr>
      <w:r>
        <w:rPr>
          <w:rFonts w:hint="eastAsia" w:ascii="仿宋_GB2312" w:hAnsi="微软雅黑" w:eastAsia="仿宋_GB2312" w:cs="仿宋_GB2312"/>
          <w:i w:val="0"/>
          <w:iCs w:val="0"/>
          <w:caps w:val="0"/>
          <w:color w:val="000000"/>
          <w:spacing w:val="0"/>
          <w:kern w:val="2"/>
          <w:sz w:val="32"/>
          <w:szCs w:val="32"/>
          <w:lang w:bidi="ar-SA"/>
        </w:rPr>
        <w:t>我局把政务信息公开作为重要工作，做到与业务工作同研究、同部署、同检查。定期对政务信息公开情况进行检查，确保政务信息及时公开，以检查促工作落实。</w:t>
      </w:r>
    </w:p>
    <w:p>
      <w:pPr>
        <w:spacing w:before="236" w:line="222" w:lineRule="auto"/>
        <w:ind w:left="599"/>
        <w:rPr>
          <w:rFonts w:ascii="黑体" w:hAnsi="黑体" w:eastAsia="黑体" w:cs="黑体"/>
          <w:b w:val="0"/>
          <w:bCs w:val="0"/>
          <w:sz w:val="32"/>
          <w:szCs w:val="32"/>
        </w:rPr>
      </w:pPr>
      <w:r>
        <w:rPr>
          <w:rFonts w:ascii="黑体" w:hAnsi="黑体" w:eastAsia="黑体" w:cs="黑体"/>
          <w:b w:val="0"/>
          <w:bCs w:val="0"/>
          <w:spacing w:val="-9"/>
          <w:sz w:val="32"/>
          <w:szCs w:val="32"/>
        </w:rPr>
        <w:t>二、主动公开政府信息情况</w:t>
      </w:r>
    </w:p>
    <w:p>
      <w:pPr>
        <w:spacing w:before="1"/>
      </w:pPr>
    </w:p>
    <w:tbl>
      <w:tblPr>
        <w:tblStyle w:val="8"/>
        <w:tblW w:w="8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3"/>
        <w:gridCol w:w="2067"/>
        <w:gridCol w:w="2118"/>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8490" w:type="dxa"/>
            <w:gridSpan w:val="4"/>
            <w:vAlign w:val="top"/>
          </w:tcPr>
          <w:p>
            <w:pPr>
              <w:pStyle w:val="9"/>
              <w:spacing w:before="40" w:line="216" w:lineRule="auto"/>
              <w:ind w:left="3437"/>
            </w:pPr>
            <w:r>
              <w:rPr>
                <w:b/>
                <w:bCs/>
                <w:spacing w:val="-3"/>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173" w:type="dxa"/>
            <w:vAlign w:val="top"/>
          </w:tcPr>
          <w:p>
            <w:pPr>
              <w:pStyle w:val="9"/>
              <w:spacing w:before="39" w:line="203" w:lineRule="auto"/>
              <w:ind w:left="654"/>
            </w:pPr>
            <w:r>
              <w:rPr>
                <w:spacing w:val="-2"/>
              </w:rPr>
              <w:t>信息内容</w:t>
            </w:r>
          </w:p>
        </w:tc>
        <w:tc>
          <w:tcPr>
            <w:tcW w:w="2067" w:type="dxa"/>
            <w:vAlign w:val="top"/>
          </w:tcPr>
          <w:p>
            <w:pPr>
              <w:pStyle w:val="9"/>
              <w:spacing w:before="38" w:line="204" w:lineRule="auto"/>
              <w:ind w:left="472"/>
            </w:pPr>
            <w:r>
              <w:rPr>
                <w:spacing w:val="-2"/>
              </w:rPr>
              <w:t>本年制发件数</w:t>
            </w:r>
          </w:p>
        </w:tc>
        <w:tc>
          <w:tcPr>
            <w:tcW w:w="2118" w:type="dxa"/>
            <w:vAlign w:val="top"/>
          </w:tcPr>
          <w:p>
            <w:pPr>
              <w:pStyle w:val="9"/>
              <w:spacing w:before="38" w:line="204" w:lineRule="auto"/>
              <w:ind w:left="474"/>
            </w:pPr>
            <w:r>
              <w:rPr>
                <w:spacing w:val="-2"/>
              </w:rPr>
              <w:t>本年废止件数</w:t>
            </w:r>
          </w:p>
        </w:tc>
        <w:tc>
          <w:tcPr>
            <w:tcW w:w="2132" w:type="dxa"/>
            <w:vAlign w:val="top"/>
          </w:tcPr>
          <w:p>
            <w:pPr>
              <w:pStyle w:val="9"/>
              <w:spacing w:before="39" w:line="203" w:lineRule="auto"/>
              <w:ind w:left="467"/>
            </w:pPr>
            <w:r>
              <w:rPr>
                <w:spacing w:val="-2"/>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173" w:type="dxa"/>
            <w:vAlign w:val="top"/>
          </w:tcPr>
          <w:p>
            <w:pPr>
              <w:pStyle w:val="9"/>
              <w:spacing w:before="39" w:line="203" w:lineRule="auto"/>
              <w:ind w:left="854"/>
            </w:pPr>
            <w:r>
              <w:rPr>
                <w:spacing w:val="7"/>
              </w:rPr>
              <w:t>规章</w:t>
            </w:r>
          </w:p>
        </w:tc>
        <w:tc>
          <w:tcPr>
            <w:tcW w:w="2067" w:type="dxa"/>
            <w:vAlign w:val="top"/>
          </w:tcPr>
          <w:p>
            <w:pPr>
              <w:jc w:val="center"/>
              <w:rPr>
                <w:rFonts w:hint="eastAsia" w:ascii="Arial" w:eastAsia="宋体"/>
                <w:sz w:val="21"/>
                <w:lang w:val="en-US" w:eastAsia="zh-CN"/>
              </w:rPr>
            </w:pPr>
            <w:r>
              <w:rPr>
                <w:rFonts w:hint="eastAsia" w:eastAsia="宋体"/>
                <w:sz w:val="21"/>
                <w:lang w:val="en-US" w:eastAsia="zh-CN"/>
              </w:rPr>
              <w:t>0</w:t>
            </w:r>
          </w:p>
        </w:tc>
        <w:tc>
          <w:tcPr>
            <w:tcW w:w="2118" w:type="dxa"/>
            <w:vAlign w:val="top"/>
          </w:tcPr>
          <w:p>
            <w:pPr>
              <w:jc w:val="center"/>
              <w:rPr>
                <w:rFonts w:hint="eastAsia" w:ascii="Arial" w:eastAsia="宋体"/>
                <w:sz w:val="21"/>
                <w:lang w:val="en-US" w:eastAsia="zh-CN"/>
              </w:rPr>
            </w:pPr>
            <w:r>
              <w:rPr>
                <w:rFonts w:hint="eastAsia" w:eastAsia="宋体"/>
                <w:sz w:val="21"/>
                <w:lang w:val="en-US" w:eastAsia="zh-CN"/>
              </w:rPr>
              <w:t>0</w:t>
            </w:r>
          </w:p>
        </w:tc>
        <w:tc>
          <w:tcPr>
            <w:tcW w:w="2132" w:type="dxa"/>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73" w:type="dxa"/>
            <w:vAlign w:val="top"/>
          </w:tcPr>
          <w:p>
            <w:pPr>
              <w:pStyle w:val="9"/>
              <w:spacing w:before="41" w:line="202" w:lineRule="auto"/>
              <w:ind w:left="354"/>
            </w:pPr>
            <w:r>
              <w:rPr>
                <w:spacing w:val="-2"/>
              </w:rPr>
              <w:t>行政规范性文件</w:t>
            </w:r>
          </w:p>
        </w:tc>
        <w:tc>
          <w:tcPr>
            <w:tcW w:w="2067" w:type="dxa"/>
            <w:vAlign w:val="top"/>
          </w:tcPr>
          <w:p>
            <w:pPr>
              <w:jc w:val="center"/>
              <w:rPr>
                <w:rFonts w:hint="eastAsia" w:ascii="Arial" w:eastAsia="宋体"/>
                <w:sz w:val="21"/>
                <w:lang w:val="en-US" w:eastAsia="zh-CN"/>
              </w:rPr>
            </w:pPr>
            <w:r>
              <w:rPr>
                <w:rFonts w:hint="eastAsia" w:eastAsia="宋体"/>
                <w:sz w:val="21"/>
                <w:lang w:val="en-US" w:eastAsia="zh-CN"/>
              </w:rPr>
              <w:t>0</w:t>
            </w:r>
          </w:p>
        </w:tc>
        <w:tc>
          <w:tcPr>
            <w:tcW w:w="2118" w:type="dxa"/>
            <w:vAlign w:val="top"/>
          </w:tcPr>
          <w:p>
            <w:pPr>
              <w:jc w:val="center"/>
              <w:rPr>
                <w:rFonts w:hint="eastAsia" w:ascii="Arial" w:eastAsia="宋体"/>
                <w:sz w:val="21"/>
                <w:lang w:val="en-US" w:eastAsia="zh-CN"/>
              </w:rPr>
            </w:pPr>
            <w:r>
              <w:rPr>
                <w:rFonts w:hint="eastAsia" w:eastAsia="宋体"/>
                <w:sz w:val="21"/>
                <w:lang w:val="en-US" w:eastAsia="zh-CN"/>
              </w:rPr>
              <w:t>0</w:t>
            </w:r>
          </w:p>
        </w:tc>
        <w:tc>
          <w:tcPr>
            <w:tcW w:w="2132" w:type="dxa"/>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8490" w:type="dxa"/>
            <w:gridSpan w:val="4"/>
            <w:vAlign w:val="top"/>
          </w:tcPr>
          <w:p>
            <w:pPr>
              <w:pStyle w:val="9"/>
              <w:spacing w:before="38" w:line="213" w:lineRule="auto"/>
              <w:ind w:left="3437"/>
            </w:pPr>
            <w:r>
              <w:rPr>
                <w:b/>
                <w:bCs/>
                <w:spacing w:val="-3"/>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173" w:type="dxa"/>
            <w:vAlign w:val="top"/>
          </w:tcPr>
          <w:p>
            <w:pPr>
              <w:pStyle w:val="9"/>
              <w:spacing w:before="42" w:line="200" w:lineRule="auto"/>
              <w:ind w:left="654"/>
            </w:pPr>
            <w:r>
              <w:rPr>
                <w:spacing w:val="-2"/>
              </w:rPr>
              <w:t>信息内容</w:t>
            </w:r>
          </w:p>
        </w:tc>
        <w:tc>
          <w:tcPr>
            <w:tcW w:w="6317" w:type="dxa"/>
            <w:gridSpan w:val="3"/>
            <w:vAlign w:val="top"/>
          </w:tcPr>
          <w:p>
            <w:pPr>
              <w:pStyle w:val="9"/>
              <w:spacing w:before="41" w:line="201" w:lineRule="auto"/>
              <w:ind w:left="2373"/>
            </w:pPr>
            <w:r>
              <w:rPr>
                <w:spacing w:val="-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73" w:type="dxa"/>
            <w:vAlign w:val="top"/>
          </w:tcPr>
          <w:p>
            <w:pPr>
              <w:pStyle w:val="9"/>
              <w:spacing w:before="43" w:line="200" w:lineRule="auto"/>
              <w:ind w:left="654"/>
              <w:jc w:val="center"/>
            </w:pPr>
            <w:r>
              <w:rPr>
                <w:spacing w:val="-3"/>
              </w:rPr>
              <w:t>行政许可</w:t>
            </w:r>
          </w:p>
        </w:tc>
        <w:tc>
          <w:tcPr>
            <w:tcW w:w="6317" w:type="dxa"/>
            <w:gridSpan w:val="3"/>
            <w:vAlign w:val="top"/>
          </w:tcPr>
          <w:p>
            <w:pPr>
              <w:jc w:val="center"/>
              <w:rPr>
                <w:rFonts w:hint="default" w:ascii="Arial" w:eastAsia="宋体"/>
                <w:sz w:val="21"/>
                <w:lang w:val="en-US" w:eastAsia="zh-CN"/>
              </w:rPr>
            </w:pPr>
            <w:r>
              <w:rPr>
                <w:rFonts w:hint="eastAsia" w:eastAsia="宋体"/>
                <w:sz w:val="21"/>
                <w:lang w:val="en-US" w:eastAsia="zh-CN"/>
              </w:rPr>
              <w:t>28件</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8490" w:type="dxa"/>
            <w:gridSpan w:val="4"/>
            <w:vAlign w:val="top"/>
          </w:tcPr>
          <w:p>
            <w:pPr>
              <w:pStyle w:val="9"/>
              <w:spacing w:before="40" w:line="211" w:lineRule="auto"/>
              <w:ind w:left="3437"/>
              <w:jc w:val="left"/>
            </w:pPr>
            <w:r>
              <w:rPr>
                <w:b/>
                <w:bCs/>
                <w:spacing w:val="-3"/>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73" w:type="dxa"/>
            <w:vAlign w:val="top"/>
          </w:tcPr>
          <w:p>
            <w:pPr>
              <w:pStyle w:val="9"/>
              <w:spacing w:before="44" w:line="199" w:lineRule="auto"/>
              <w:ind w:left="654"/>
            </w:pPr>
            <w:r>
              <w:rPr>
                <w:spacing w:val="-2"/>
              </w:rPr>
              <w:t>信息内容</w:t>
            </w:r>
          </w:p>
        </w:tc>
        <w:tc>
          <w:tcPr>
            <w:tcW w:w="6317" w:type="dxa"/>
            <w:gridSpan w:val="3"/>
            <w:vAlign w:val="top"/>
          </w:tcPr>
          <w:p>
            <w:pPr>
              <w:pStyle w:val="9"/>
              <w:spacing w:before="43" w:line="200" w:lineRule="auto"/>
              <w:ind w:left="2373"/>
            </w:pPr>
            <w:r>
              <w:rPr>
                <w:spacing w:val="-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173" w:type="dxa"/>
            <w:vAlign w:val="top"/>
          </w:tcPr>
          <w:p>
            <w:pPr>
              <w:pStyle w:val="9"/>
              <w:spacing w:before="34" w:line="198" w:lineRule="auto"/>
              <w:ind w:left="654"/>
            </w:pPr>
            <w:r>
              <w:rPr>
                <w:spacing w:val="6"/>
              </w:rPr>
              <w:t>行政处罚</w:t>
            </w:r>
          </w:p>
        </w:tc>
        <w:tc>
          <w:tcPr>
            <w:tcW w:w="6317" w:type="dxa"/>
            <w:gridSpan w:val="3"/>
            <w:vAlign w:val="top"/>
          </w:tcPr>
          <w:p>
            <w:pPr>
              <w:jc w:val="center"/>
              <w:rPr>
                <w:rFonts w:hint="default" w:ascii="Arial" w:eastAsia="宋体"/>
                <w:sz w:val="21"/>
                <w:lang w:val="en-US" w:eastAsia="zh-CN"/>
              </w:rPr>
            </w:pPr>
            <w:r>
              <w:rPr>
                <w:rFonts w:hint="eastAsia" w:eastAsia="宋体"/>
                <w:sz w:val="21"/>
                <w:lang w:val="en-US" w:eastAsia="zh-CN"/>
              </w:rPr>
              <w:t>26件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73" w:type="dxa"/>
            <w:vAlign w:val="top"/>
          </w:tcPr>
          <w:p>
            <w:pPr>
              <w:pStyle w:val="9"/>
              <w:spacing w:before="45" w:line="207" w:lineRule="auto"/>
              <w:ind w:left="654"/>
            </w:pPr>
            <w:r>
              <w:rPr>
                <w:spacing w:val="4"/>
              </w:rPr>
              <w:t>行政强制</w:t>
            </w:r>
          </w:p>
        </w:tc>
        <w:tc>
          <w:tcPr>
            <w:tcW w:w="6317" w:type="dxa"/>
            <w:gridSpan w:val="3"/>
            <w:vAlign w:val="top"/>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490" w:type="dxa"/>
            <w:gridSpan w:val="4"/>
            <w:vAlign w:val="top"/>
          </w:tcPr>
          <w:p>
            <w:pPr>
              <w:pStyle w:val="9"/>
              <w:spacing w:before="32" w:line="200" w:lineRule="auto"/>
              <w:ind w:left="3437"/>
            </w:pPr>
            <w:r>
              <w:rPr>
                <w:b/>
                <w:bCs/>
                <w:spacing w:val="-3"/>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173" w:type="dxa"/>
            <w:vAlign w:val="top"/>
          </w:tcPr>
          <w:p>
            <w:pPr>
              <w:pStyle w:val="9"/>
              <w:spacing w:before="45" w:line="197" w:lineRule="auto"/>
              <w:ind w:left="654"/>
            </w:pPr>
            <w:r>
              <w:rPr>
                <w:spacing w:val="-2"/>
              </w:rPr>
              <w:t>信息内容</w:t>
            </w:r>
          </w:p>
        </w:tc>
        <w:tc>
          <w:tcPr>
            <w:tcW w:w="6317" w:type="dxa"/>
            <w:gridSpan w:val="3"/>
            <w:vAlign w:val="top"/>
          </w:tcPr>
          <w:p>
            <w:pPr>
              <w:pStyle w:val="9"/>
              <w:spacing w:before="45" w:line="197" w:lineRule="auto"/>
              <w:ind w:left="1972"/>
            </w:pPr>
            <w:r>
              <w:rPr>
                <w:spacing w:val="3"/>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2173" w:type="dxa"/>
            <w:vAlign w:val="top"/>
          </w:tcPr>
          <w:p>
            <w:pPr>
              <w:pStyle w:val="9"/>
              <w:spacing w:before="57" w:line="209" w:lineRule="auto"/>
              <w:ind w:left="354"/>
            </w:pPr>
            <w:r>
              <w:rPr>
                <w:spacing w:val="1"/>
              </w:rPr>
              <w:t>行政事业性收费</w:t>
            </w:r>
          </w:p>
        </w:tc>
        <w:tc>
          <w:tcPr>
            <w:tcW w:w="6317" w:type="dxa"/>
            <w:gridSpan w:val="3"/>
            <w:vAlign w:val="top"/>
          </w:tcPr>
          <w:p>
            <w:pPr>
              <w:jc w:val="center"/>
              <w:rPr>
                <w:rFonts w:hint="eastAsia" w:ascii="Arial" w:eastAsia="宋体"/>
                <w:sz w:val="21"/>
                <w:lang w:val="en-US" w:eastAsia="zh-CN"/>
              </w:rPr>
            </w:pPr>
            <w:r>
              <w:rPr>
                <w:rFonts w:hint="eastAsia" w:eastAsia="宋体"/>
                <w:sz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i w:val="0"/>
          <w:iCs w:val="0"/>
          <w:color w:val="000000"/>
          <w:kern w:val="0"/>
          <w:sz w:val="32"/>
          <w:szCs w:val="32"/>
          <w:u w:val="none"/>
          <w:lang w:val="en-US" w:eastAsia="zh-CN" w:bidi="ar"/>
        </w:rPr>
        <w:t>三、收到和处理政府信息公开申请情况</w:t>
      </w:r>
    </w:p>
    <w:tbl>
      <w:tblPr>
        <w:tblStyle w:val="4"/>
        <w:tblW w:w="9079" w:type="dxa"/>
        <w:jc w:val="center"/>
        <w:tblLayout w:type="autofit"/>
        <w:tblCellMar>
          <w:top w:w="0" w:type="dxa"/>
          <w:left w:w="0" w:type="dxa"/>
          <w:bottom w:w="0" w:type="dxa"/>
          <w:right w:w="0" w:type="dxa"/>
        </w:tblCellMar>
      </w:tblPr>
      <w:tblGrid>
        <w:gridCol w:w="768"/>
        <w:gridCol w:w="943"/>
        <w:gridCol w:w="2551"/>
        <w:gridCol w:w="688"/>
        <w:gridCol w:w="688"/>
        <w:gridCol w:w="688"/>
        <w:gridCol w:w="688"/>
        <w:gridCol w:w="688"/>
        <w:gridCol w:w="688"/>
        <w:gridCol w:w="689"/>
      </w:tblGrid>
      <w:tr>
        <w:tblPrEx>
          <w:tblCellMar>
            <w:top w:w="0" w:type="dxa"/>
            <w:left w:w="0" w:type="dxa"/>
            <w:bottom w:w="0" w:type="dxa"/>
            <w:right w:w="0" w:type="dxa"/>
          </w:tblCellMar>
        </w:tblPrEx>
        <w:trPr>
          <w:jc w:val="center"/>
        </w:trPr>
        <w:tc>
          <w:tcPr>
            <w:tcW w:w="4262"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申请人情况</w:t>
            </w:r>
          </w:p>
        </w:tc>
      </w:tr>
      <w:tr>
        <w:tblPrEx>
          <w:tblCellMar>
            <w:top w:w="0" w:type="dxa"/>
            <w:left w:w="0" w:type="dxa"/>
            <w:bottom w:w="0" w:type="dxa"/>
            <w:right w:w="0" w:type="dxa"/>
          </w:tblCellMar>
        </w:tblPrEx>
        <w:trPr>
          <w:jc w:val="center"/>
        </w:trPr>
        <w:tc>
          <w:tcPr>
            <w:tcW w:w="4262" w:type="dxa"/>
            <w:gridSpan w:val="3"/>
            <w:vMerge w:val="continue"/>
            <w:tcBorders>
              <w:top w:val="single" w:color="auto" w:sz="8"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总计</w:t>
            </w:r>
          </w:p>
        </w:tc>
      </w:tr>
      <w:tr>
        <w:tblPrEx>
          <w:tblCellMar>
            <w:top w:w="0" w:type="dxa"/>
            <w:left w:w="0" w:type="dxa"/>
            <w:bottom w:w="0" w:type="dxa"/>
            <w:right w:w="0" w:type="dxa"/>
          </w:tblCellMar>
        </w:tblPrEx>
        <w:trPr>
          <w:jc w:val="center"/>
        </w:trPr>
        <w:tc>
          <w:tcPr>
            <w:tcW w:w="4262" w:type="dxa"/>
            <w:gridSpan w:val="3"/>
            <w:vMerge w:val="continue"/>
            <w:tcBorders>
              <w:top w:val="single" w:color="auto" w:sz="8"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688"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商业</w:t>
            </w:r>
          </w:p>
          <w:p>
            <w:pPr>
              <w:widowControl/>
              <w:jc w:val="center"/>
              <w:rPr>
                <w:rFonts w:ascii="仿宋_GB2312" w:eastAsia="仿宋_GB2312"/>
                <w:kern w:val="0"/>
                <w:sz w:val="20"/>
                <w:szCs w:val="20"/>
              </w:rPr>
            </w:pPr>
            <w:r>
              <w:rPr>
                <w:rFonts w:hint="eastAsia" w:ascii="仿宋_GB2312" w:eastAsia="仿宋_GB2312"/>
                <w:kern w:val="0"/>
                <w:sz w:val="20"/>
                <w:szCs w:val="20"/>
              </w:rPr>
              <w:t>企业</w:t>
            </w:r>
          </w:p>
        </w:tc>
        <w:tc>
          <w:tcPr>
            <w:tcW w:w="688"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科研</w:t>
            </w:r>
          </w:p>
          <w:p>
            <w:pPr>
              <w:widowControl/>
              <w:jc w:val="center"/>
              <w:rPr>
                <w:rFonts w:ascii="仿宋_GB2312" w:eastAsia="仿宋_GB2312"/>
                <w:kern w:val="0"/>
                <w:sz w:val="20"/>
                <w:szCs w:val="20"/>
              </w:rPr>
            </w:pPr>
            <w:r>
              <w:rPr>
                <w:rFonts w:hint="eastAsia" w:ascii="仿宋_GB2312" w:eastAsia="仿宋_GB2312"/>
                <w:kern w:val="0"/>
                <w:sz w:val="20"/>
                <w:szCs w:val="20"/>
              </w:rPr>
              <w:t>机构</w:t>
            </w:r>
          </w:p>
        </w:tc>
        <w:tc>
          <w:tcPr>
            <w:tcW w:w="688" w:type="dxa"/>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社会公益组织</w:t>
            </w:r>
          </w:p>
        </w:tc>
        <w:tc>
          <w:tcPr>
            <w:tcW w:w="688" w:type="dxa"/>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法律服务机构</w:t>
            </w:r>
          </w:p>
        </w:tc>
        <w:tc>
          <w:tcPr>
            <w:tcW w:w="688" w:type="dxa"/>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其他</w:t>
            </w:r>
          </w:p>
        </w:tc>
        <w:tc>
          <w:tcPr>
            <w:tcW w:w="0" w:type="auto"/>
            <w:vMerge w:val="continue"/>
            <w:tcBorders>
              <w:top w:val="single" w:color="auto" w:sz="8"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r>
      <w:tr>
        <w:tblPrEx>
          <w:tblCellMar>
            <w:top w:w="0" w:type="dxa"/>
            <w:left w:w="0" w:type="dxa"/>
            <w:bottom w:w="0" w:type="dxa"/>
            <w:right w:w="0" w:type="dxa"/>
          </w:tblCellMar>
        </w:tblPrEx>
        <w:trPr>
          <w:jc w:val="center"/>
        </w:trPr>
        <w:tc>
          <w:tcPr>
            <w:tcW w:w="4262"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一、本年新收政府信息公开申请数量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eastAsia="zh-CN"/>
              </w:rPr>
            </w:pPr>
            <w:r>
              <w:rPr>
                <w:rFonts w:hint="eastAsia" w:ascii="仿宋_GB2312" w:eastAsia="仿宋_GB2312"/>
                <w:kern w:val="0"/>
                <w:sz w:val="20"/>
                <w:szCs w:val="20"/>
                <w:lang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eastAsia="zh-CN"/>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eastAsia="zh-CN"/>
              </w:rPr>
            </w:pPr>
            <w:r>
              <w:rPr>
                <w:rFonts w:hint="eastAsia" w:ascii="仿宋_GB2312" w:eastAsia="仿宋_GB2312"/>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eastAsia="zh-CN"/>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4262"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二、上年结转政府信息公开申请数量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val="en-US" w:eastAsia="zh-CN"/>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eastAsia="zh-CN"/>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三、本年度办理结果</w:t>
            </w:r>
          </w:p>
        </w:tc>
        <w:tc>
          <w:tcPr>
            <w:tcW w:w="3494"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（一）予以公开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val="en-US" w:eastAsia="zh-CN"/>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eastAsia="zh-CN"/>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3494"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（二）部分公开（区分处理的，只计这一情形，不计其他情形）</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943"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（三）不予公开</w:t>
            </w: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1.属于国家秘密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9"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2.其他法律行政法规禁止公开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3.危及“三安全一稳定”</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仿宋_GB2312" w:eastAsia="仿宋_GB2312"/>
                <w:kern w:val="0"/>
                <w:sz w:val="20"/>
                <w:szCs w:val="20"/>
                <w:lang w:eastAsia="zh-CN"/>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4.保护第三方合法权益</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5.属于三类内部事务信息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6.属于四类过程性信息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7.属于行政执法案卷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8.属于行政查询事项</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943"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（四）无法提供</w:t>
            </w: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1.本机关不掌握相关政府信息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2.没有现成信息需要另行制作</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3.补正后申请内容仍不明确</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943"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（五）不予处理</w:t>
            </w: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1.信访举报投诉类申请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2.重复申请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3.要求提供公开出版物</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rPr>
                <w:rFonts w:ascii="仿宋_GB2312" w:eastAsia="仿宋_GB2312"/>
                <w:kern w:val="0"/>
                <w:sz w:val="20"/>
                <w:szCs w:val="20"/>
              </w:rPr>
            </w:pPr>
            <w:r>
              <w:rPr>
                <w:rFonts w:hint="eastAsia" w:ascii="仿宋_GB2312" w:eastAsia="仿宋_GB2312"/>
                <w:kern w:val="0"/>
                <w:sz w:val="20"/>
                <w:szCs w:val="20"/>
              </w:rPr>
              <w:t>4.无正当理由大量反复申请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eastAsia="zh-CN"/>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943" w:type="dxa"/>
            <w:vMerge w:val="restart"/>
            <w:tcBorders>
              <w:top w:val="single" w:color="auto" w:sz="0" w:space="0"/>
              <w:left w:val="single" w:color="auto" w:sz="0" w:space="0"/>
              <w:bottom w:val="outset"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（六）其他处理</w:t>
            </w: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0" w:type="auto"/>
            <w:vMerge w:val="continue"/>
            <w:tcBorders>
              <w:top w:val="single" w:color="auto" w:sz="0" w:space="0"/>
              <w:left w:val="single" w:color="auto" w:sz="0"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25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3.其他</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outset" w:color="auto" w:sz="8" w:space="0"/>
              <w:right w:val="single" w:color="auto" w:sz="8" w:space="0"/>
            </w:tcBorders>
            <w:noWrap w:val="0"/>
            <w:vAlign w:val="center"/>
          </w:tcPr>
          <w:p>
            <w:pPr>
              <w:widowControl/>
              <w:suppressAutoHyphens w:val="0"/>
              <w:jc w:val="left"/>
              <w:rPr>
                <w:rFonts w:ascii="仿宋_GB2312" w:eastAsia="仿宋_GB2312"/>
                <w:kern w:val="0"/>
                <w:sz w:val="20"/>
                <w:szCs w:val="20"/>
              </w:rPr>
            </w:pPr>
          </w:p>
        </w:tc>
        <w:tc>
          <w:tcPr>
            <w:tcW w:w="3494"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（七）总计</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r>
      <w:tr>
        <w:tblPrEx>
          <w:tblCellMar>
            <w:top w:w="0" w:type="dxa"/>
            <w:left w:w="0" w:type="dxa"/>
            <w:bottom w:w="0" w:type="dxa"/>
            <w:right w:w="0" w:type="dxa"/>
          </w:tblCellMar>
        </w:tblPrEx>
        <w:trPr>
          <w:jc w:val="center"/>
        </w:trPr>
        <w:tc>
          <w:tcPr>
            <w:tcW w:w="4262"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rPr>
                <w:rFonts w:ascii="仿宋_GB2312" w:eastAsia="仿宋_GB2312"/>
                <w:kern w:val="0"/>
                <w:sz w:val="20"/>
                <w:szCs w:val="20"/>
              </w:rPr>
            </w:pPr>
            <w:r>
              <w:rPr>
                <w:rFonts w:hint="eastAsia" w:ascii="仿宋_GB2312" w:eastAsia="仿宋_GB2312"/>
                <w:kern w:val="0"/>
                <w:sz w:val="20"/>
                <w:szCs w:val="20"/>
              </w:rPr>
              <w:t>四、结转下年度继续办理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kern w:val="0"/>
                <w:sz w:val="20"/>
                <w:szCs w:val="20"/>
              </w:rPr>
            </w:pPr>
            <w:r>
              <w:rPr>
                <w:rFonts w:hint="eastAsia" w:ascii="仿宋_GB2312" w:eastAsia="仿宋_GB2312"/>
                <w:kern w:val="0"/>
                <w:sz w:val="20"/>
                <w:szCs w:val="20"/>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仿宋_GB2312" w:eastAsia="仿宋_GB2312"/>
                <w:sz w:val="20"/>
                <w:szCs w:val="20"/>
              </w:rPr>
            </w:pPr>
            <w:r>
              <w:rPr>
                <w:rFonts w:hint="eastAsia" w:ascii="仿宋_GB2312" w:eastAsia="仿宋_GB2312"/>
                <w:kern w:val="0"/>
                <w:sz w:val="20"/>
                <w:szCs w:val="20"/>
                <w:lang w:val="en-US" w:eastAsia="zh-CN"/>
              </w:rPr>
              <w:t>0</w:t>
            </w:r>
          </w:p>
        </w:tc>
      </w:tr>
    </w:tbl>
    <w:p>
      <w:pPr>
        <w:widowControl/>
        <w:ind w:firstLine="640" w:firstLineChars="200"/>
        <w:rPr>
          <w:rFonts w:ascii="黑体" w:hAnsi="黑体" w:eastAsia="黑体"/>
          <w:color w:val="333333"/>
          <w:kern w:val="0"/>
          <w:sz w:val="32"/>
          <w:szCs w:val="32"/>
        </w:rPr>
      </w:pPr>
      <w:r>
        <w:rPr>
          <w:rFonts w:hint="eastAsia" w:ascii="黑体" w:hAnsi="黑体" w:eastAsia="黑体"/>
          <w:color w:val="333333"/>
          <w:kern w:val="0"/>
          <w:sz w:val="32"/>
          <w:szCs w:val="32"/>
        </w:rPr>
        <w:t>四、政府信息公开行政复议、行政诉讼情况</w:t>
      </w:r>
    </w:p>
    <w:tbl>
      <w:tblPr>
        <w:tblStyle w:val="4"/>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行政复议</w:t>
            </w:r>
          </w:p>
        </w:tc>
        <w:tc>
          <w:tcPr>
            <w:tcW w:w="6428"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结果维持</w:t>
            </w:r>
          </w:p>
        </w:tc>
        <w:tc>
          <w:tcPr>
            <w:tcW w:w="642"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纠正</w:t>
            </w:r>
          </w:p>
        </w:tc>
        <w:tc>
          <w:tcPr>
            <w:tcW w:w="642"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其他</w:t>
            </w:r>
            <w:r>
              <w:rPr>
                <w:rFonts w:hint="eastAsia" w:ascii="宋体" w:hAnsi="宋体"/>
                <w:kern w:val="0"/>
                <w:sz w:val="20"/>
                <w:szCs w:val="20"/>
              </w:rPr>
              <w:br w:type="textWrapping"/>
            </w:r>
            <w:r>
              <w:rPr>
                <w:rFonts w:hint="eastAsia" w:ascii="宋体" w:hAnsi="宋体"/>
                <w:kern w:val="0"/>
                <w:sz w:val="20"/>
                <w:szCs w:val="20"/>
              </w:rPr>
              <w:t>结果</w:t>
            </w:r>
          </w:p>
        </w:tc>
        <w:tc>
          <w:tcPr>
            <w:tcW w:w="642"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尚未</w:t>
            </w:r>
            <w:r>
              <w:rPr>
                <w:rFonts w:hint="eastAsia" w:ascii="宋体" w:hAnsi="宋体"/>
                <w:kern w:val="0"/>
                <w:sz w:val="20"/>
                <w:szCs w:val="20"/>
              </w:rPr>
              <w:br w:type="textWrapping"/>
            </w:r>
            <w:r>
              <w:rPr>
                <w:rFonts w:hint="eastAsia" w:ascii="宋体" w:hAnsi="宋体"/>
                <w:kern w:val="0"/>
                <w:sz w:val="20"/>
                <w:szCs w:val="20"/>
              </w:rPr>
              <w:t>审结</w:t>
            </w:r>
          </w:p>
        </w:tc>
        <w:tc>
          <w:tcPr>
            <w:tcW w:w="642"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总计</w:t>
            </w:r>
          </w:p>
        </w:tc>
        <w:tc>
          <w:tcPr>
            <w:tcW w:w="3213"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未经复议直接起诉</w:t>
            </w:r>
          </w:p>
        </w:tc>
        <w:tc>
          <w:tcPr>
            <w:tcW w:w="321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suppressAutoHyphens w:val="0"/>
              <w:jc w:val="left"/>
              <w:rPr>
                <w:rFonts w:ascii="宋体" w:hAnsi="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suppressAutoHyphens w:val="0"/>
              <w:jc w:val="left"/>
              <w:rPr>
                <w:rFonts w:ascii="宋体" w:hAnsi="宋体"/>
                <w:kern w:val="0"/>
                <w:sz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suppressAutoHyphens w:val="0"/>
              <w:jc w:val="left"/>
              <w:rPr>
                <w:rFonts w:ascii="宋体" w:hAnsi="宋体"/>
                <w:kern w:val="0"/>
                <w:sz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suppressAutoHyphens w:val="0"/>
              <w:jc w:val="left"/>
              <w:rPr>
                <w:rFonts w:ascii="宋体" w:hAnsi="宋体"/>
                <w:kern w:val="0"/>
                <w:sz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suppressAutoHyphens w:val="0"/>
              <w:jc w:val="left"/>
              <w:rPr>
                <w:rFonts w:ascii="宋体" w:hAnsi="宋体"/>
                <w:kern w:val="0"/>
                <w:sz w:val="24"/>
              </w:rPr>
            </w:pP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维持</w:t>
            </w: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纠正</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其他</w:t>
            </w:r>
            <w:r>
              <w:rPr>
                <w:rFonts w:hint="eastAsia" w:ascii="宋体" w:hAnsi="宋体"/>
                <w:kern w:val="0"/>
                <w:sz w:val="20"/>
                <w:szCs w:val="20"/>
              </w:rPr>
              <w:br w:type="textWrapping"/>
            </w:r>
            <w:r>
              <w:rPr>
                <w:rFonts w:hint="eastAsia" w:ascii="宋体" w:hAnsi="宋体"/>
                <w:kern w:val="0"/>
                <w:sz w:val="20"/>
                <w:szCs w:val="20"/>
              </w:rPr>
              <w:t>结果</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尚未</w:t>
            </w:r>
            <w:r>
              <w:rPr>
                <w:rFonts w:hint="eastAsia" w:ascii="宋体" w:hAnsi="宋体"/>
                <w:kern w:val="0"/>
                <w:sz w:val="20"/>
                <w:szCs w:val="20"/>
              </w:rPr>
              <w:br w:type="textWrapping"/>
            </w:r>
            <w:r>
              <w:rPr>
                <w:rFonts w:hint="eastAsia" w:ascii="宋体" w:hAnsi="宋体"/>
                <w:kern w:val="0"/>
                <w:sz w:val="20"/>
                <w:szCs w:val="20"/>
              </w:rPr>
              <w:t>审结</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color w:val="000000"/>
                <w:kern w:val="0"/>
                <w:sz w:val="20"/>
                <w:szCs w:val="20"/>
              </w:rPr>
              <w:t>总计</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维持</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纠正</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color w:val="000000"/>
                <w:kern w:val="0"/>
                <w:sz w:val="20"/>
                <w:szCs w:val="20"/>
              </w:rPr>
              <w:t>其他</w:t>
            </w:r>
            <w:r>
              <w:rPr>
                <w:rFonts w:hint="eastAsia" w:ascii="宋体" w:hAnsi="宋体"/>
                <w:color w:val="000000"/>
                <w:kern w:val="0"/>
                <w:sz w:val="20"/>
                <w:szCs w:val="20"/>
              </w:rPr>
              <w:br w:type="textWrapping"/>
            </w:r>
            <w:r>
              <w:rPr>
                <w:rFonts w:hint="eastAsia" w:ascii="宋体" w:hAnsi="宋体"/>
                <w:color w:val="000000"/>
                <w:kern w:val="0"/>
                <w:sz w:val="20"/>
                <w:szCs w:val="20"/>
              </w:rPr>
              <w:t>结果</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尚未</w:t>
            </w:r>
            <w:r>
              <w:rPr>
                <w:rFonts w:hint="eastAsia" w:ascii="宋体" w:hAnsi="宋体"/>
                <w:kern w:val="0"/>
                <w:sz w:val="20"/>
                <w:szCs w:val="20"/>
              </w:rPr>
              <w:br w:type="textWrapping"/>
            </w:r>
            <w:r>
              <w:rPr>
                <w:rFonts w:hint="eastAsia" w:ascii="宋体" w:hAnsi="宋体"/>
                <w:kern w:val="0"/>
                <w:sz w:val="20"/>
                <w:szCs w:val="20"/>
              </w:rPr>
              <w:t>审结</w:t>
            </w:r>
          </w:p>
        </w:tc>
        <w:tc>
          <w:tcPr>
            <w:tcW w:w="6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color w:val="000000"/>
                <w:kern w:val="0"/>
                <w:sz w:val="20"/>
                <w:szCs w:val="20"/>
              </w:rPr>
              <w:t>总计</w:t>
            </w:r>
          </w:p>
        </w:tc>
      </w:tr>
      <w:tr>
        <w:tblPrEx>
          <w:tblCellMar>
            <w:top w:w="0" w:type="dxa"/>
            <w:left w:w="0" w:type="dxa"/>
            <w:bottom w:w="0" w:type="dxa"/>
            <w:right w:w="0" w:type="dxa"/>
          </w:tblCellMar>
        </w:tblPrEx>
        <w:trPr>
          <w:trHeight w:val="319" w:hRule="atLeast"/>
          <w:jc w:val="center"/>
        </w:trPr>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Theme="minorEastAsia"/>
                <w:kern w:val="0"/>
                <w:sz w:val="24"/>
                <w:lang w:eastAsia="zh-CN"/>
              </w:rPr>
            </w:pPr>
            <w:r>
              <w:rPr>
                <w:rFonts w:hint="eastAsia" w:ascii="宋体" w:hAnsi="宋体"/>
                <w:kern w:val="0"/>
                <w:sz w:val="20"/>
                <w:szCs w:val="20"/>
                <w:lang w:val="en-US" w:eastAsia="zh-CN"/>
              </w:rPr>
              <w:t>0</w:t>
            </w: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kern w:val="0"/>
                <w:sz w:val="24"/>
                <w:lang w:eastAsia="zh-CN"/>
              </w:rPr>
            </w:pPr>
            <w:r>
              <w:rPr>
                <w:rFonts w:hint="eastAsia" w:ascii="宋体" w:hAnsi="宋体" w:eastAsia="宋体"/>
                <w:kern w:val="0"/>
                <w:sz w:val="20"/>
                <w:szCs w:val="20"/>
                <w:lang w:val="en-US" w:eastAsia="zh-CN"/>
              </w:rPr>
              <w:t>0</w:t>
            </w: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kern w:val="0"/>
                <w:sz w:val="24"/>
                <w:lang w:eastAsia="zh-CN"/>
              </w:rPr>
            </w:pPr>
            <w:r>
              <w:rPr>
                <w:rFonts w:hint="eastAsia" w:ascii="宋体" w:hAnsi="宋体" w:eastAsia="宋体"/>
                <w:kern w:val="0"/>
                <w:sz w:val="20"/>
                <w:szCs w:val="20"/>
                <w:lang w:val="en-US" w:eastAsia="zh-CN"/>
              </w:rPr>
              <w:t>0</w:t>
            </w:r>
          </w:p>
        </w:tc>
        <w:tc>
          <w:tcPr>
            <w:tcW w:w="6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Theme="minorEastAsia"/>
                <w:kern w:val="0"/>
                <w:sz w:val="24"/>
                <w:lang w:eastAsia="zh-CN"/>
              </w:rPr>
            </w:pPr>
            <w:r>
              <w:rPr>
                <w:rFonts w:hint="eastAsia" w:ascii="宋体" w:hAnsi="宋体"/>
                <w:kern w:val="0"/>
                <w:sz w:val="24"/>
                <w:lang w:val="en-US" w:eastAsia="zh-CN"/>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Theme="minorEastAsia"/>
                <w:kern w:val="0"/>
                <w:sz w:val="24"/>
                <w:lang w:eastAsia="zh-CN"/>
              </w:rPr>
            </w:pPr>
            <w:r>
              <w:rPr>
                <w:rFonts w:hint="eastAsia" w:ascii="宋体" w:hAnsi="宋体"/>
                <w:kern w:val="0"/>
                <w:sz w:val="20"/>
                <w:szCs w:val="20"/>
                <w:lang w:val="en-US" w:eastAsia="zh-CN"/>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0"/>
                <w:szCs w:val="20"/>
              </w:rPr>
              <w:t>0</w:t>
            </w:r>
          </w:p>
        </w:tc>
        <w:tc>
          <w:tcPr>
            <w:tcW w:w="64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pPr>
            <w:r>
              <w:t>0</w:t>
            </w: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225" w:beforeAutospacing="0" w:after="225" w:afterAutospacing="0" w:line="578" w:lineRule="exact"/>
        <w:ind w:left="0" w:right="0" w:firstLine="643"/>
        <w:jc w:val="both"/>
        <w:rPr>
          <w:rFonts w:hint="default" w:ascii="仿宋_GB2312" w:hAnsi="微软雅黑" w:eastAsia="仿宋_GB2312" w:cs="仿宋_GB2312"/>
          <w:i w:val="0"/>
          <w:iCs w:val="0"/>
          <w:caps w:val="0"/>
          <w:color w:val="000000"/>
          <w:spacing w:val="0"/>
          <w:kern w:val="2"/>
          <w:sz w:val="32"/>
          <w:szCs w:val="32"/>
          <w:lang w:bidi="ar-SA"/>
        </w:rPr>
      </w:pPr>
      <w:r>
        <w:rPr>
          <w:rFonts w:hint="default" w:ascii="仿宋_GB2312" w:hAnsi="微软雅黑" w:eastAsia="仿宋_GB2312" w:cs="仿宋_GB2312"/>
          <w:i w:val="0"/>
          <w:iCs w:val="0"/>
          <w:caps w:val="0"/>
          <w:color w:val="000000"/>
          <w:spacing w:val="0"/>
          <w:kern w:val="2"/>
          <w:sz w:val="32"/>
          <w:szCs w:val="32"/>
          <w:lang w:bidi="ar-SA"/>
        </w:rPr>
        <w:t>2024年，县交通运输局的政府信息公开工作虽取得一定成效，但仍存在标准化规范化建设有差距、针对部分人民群众关心的重大问题、重大决策工作主动公开不全面、不及时、信息内容单一等问题。下一步，县交通运输局将继续认真贯彻落实政府信息公开工作有关部要求，精准吃透政策，进一步完善政府信息公开工作机制，提高政府信息公开质量。一是加强信息沟通协调。为确保信息发布的实效性，加强与上级相关业务部门的信息沟通，提前梳理待发布的内容资料，确保信息公开及时、全面、准确。二是强化政务公开政策学习。及时学习上级关于政府信息公开工作的最新文件要求和会议精神，全面把握精神实质和工作要求，提高政府信息公开业务人员和有关股室的整体业务知识储备和实操能力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固阳</w:t>
      </w:r>
      <w:r>
        <w:rPr>
          <w:rFonts w:hint="default" w:ascii="仿宋_GB2312" w:hAnsi="微软雅黑" w:eastAsia="仿宋_GB2312" w:cs="仿宋_GB2312"/>
          <w:i w:val="0"/>
          <w:iCs w:val="0"/>
          <w:caps w:val="0"/>
          <w:color w:val="000000"/>
          <w:spacing w:val="0"/>
          <w:kern w:val="2"/>
          <w:sz w:val="32"/>
          <w:szCs w:val="32"/>
          <w:lang w:bidi="ar-SA"/>
        </w:rPr>
        <w:t>县</w:t>
      </w:r>
      <w:r>
        <w:rPr>
          <w:rFonts w:hint="eastAsia" w:ascii="仿宋_GB2312" w:hAnsi="微软雅黑" w:eastAsia="仿宋_GB2312" w:cs="仿宋_GB2312"/>
          <w:i w:val="0"/>
          <w:iCs w:val="0"/>
          <w:caps w:val="0"/>
          <w:color w:val="000000"/>
          <w:spacing w:val="0"/>
          <w:kern w:val="2"/>
          <w:sz w:val="32"/>
          <w:szCs w:val="32"/>
          <w:lang w:eastAsia="zh-CN" w:bidi="ar-SA"/>
        </w:rPr>
        <w:t>交通运输局</w:t>
      </w:r>
      <w:r>
        <w:rPr>
          <w:rFonts w:hint="default" w:ascii="仿宋_GB2312" w:hAnsi="微软雅黑" w:eastAsia="仿宋_GB2312" w:cs="仿宋_GB2312"/>
          <w:i w:val="0"/>
          <w:iCs w:val="0"/>
          <w:caps w:val="0"/>
          <w:color w:val="000000"/>
          <w:spacing w:val="0"/>
          <w:kern w:val="2"/>
          <w:sz w:val="32"/>
          <w:szCs w:val="32"/>
          <w:lang w:bidi="ar-SA"/>
        </w:rPr>
        <w:t>严格执行国务院办公厅《政府信息公开信息处理费管理办法》(国办函〔2020〕109号)，2024年</w:t>
      </w:r>
      <w:r>
        <w:rPr>
          <w:rFonts w:hint="eastAsia" w:ascii="仿宋_GB2312" w:hAnsi="微软雅黑" w:eastAsia="仿宋_GB2312" w:cs="仿宋_GB2312"/>
          <w:i w:val="0"/>
          <w:iCs w:val="0"/>
          <w:caps w:val="0"/>
          <w:color w:val="000000"/>
          <w:spacing w:val="0"/>
          <w:kern w:val="2"/>
          <w:sz w:val="32"/>
          <w:szCs w:val="32"/>
          <w:lang w:val="en-US" w:eastAsia="zh-CN" w:bidi="ar-SA"/>
        </w:rPr>
        <w:t>固阳</w:t>
      </w:r>
      <w:r>
        <w:rPr>
          <w:rFonts w:hint="default" w:ascii="仿宋_GB2312" w:hAnsi="微软雅黑" w:eastAsia="仿宋_GB2312" w:cs="仿宋_GB2312"/>
          <w:i w:val="0"/>
          <w:iCs w:val="0"/>
          <w:caps w:val="0"/>
          <w:color w:val="000000"/>
          <w:spacing w:val="0"/>
          <w:kern w:val="2"/>
          <w:sz w:val="32"/>
          <w:szCs w:val="32"/>
          <w:lang w:bidi="ar-SA"/>
        </w:rPr>
        <w:t>县</w:t>
      </w:r>
      <w:r>
        <w:rPr>
          <w:rFonts w:hint="eastAsia" w:ascii="仿宋_GB2312" w:hAnsi="微软雅黑" w:eastAsia="仿宋_GB2312" w:cs="仿宋_GB2312"/>
          <w:i w:val="0"/>
          <w:iCs w:val="0"/>
          <w:caps w:val="0"/>
          <w:color w:val="000000"/>
          <w:spacing w:val="0"/>
          <w:kern w:val="2"/>
          <w:sz w:val="32"/>
          <w:szCs w:val="32"/>
          <w:lang w:eastAsia="zh-CN" w:bidi="ar-SA"/>
        </w:rPr>
        <w:t>交通运输局</w:t>
      </w:r>
      <w:r>
        <w:rPr>
          <w:rFonts w:hint="default" w:ascii="仿宋_GB2312" w:hAnsi="微软雅黑" w:eastAsia="仿宋_GB2312" w:cs="仿宋_GB2312"/>
          <w:i w:val="0"/>
          <w:iCs w:val="0"/>
          <w:caps w:val="0"/>
          <w:color w:val="000000"/>
          <w:spacing w:val="0"/>
          <w:kern w:val="2"/>
          <w:sz w:val="32"/>
          <w:szCs w:val="32"/>
          <w:lang w:bidi="ar-SA"/>
        </w:rPr>
        <w:t>信息处理费为零</w:t>
      </w:r>
      <w:r>
        <w:rPr>
          <w:rFonts w:hint="eastAsia" w:ascii="仿宋_GB2312" w:hAnsi="仿宋_GB2312" w:eastAsia="仿宋_GB2312" w:cs="仿宋_GB2312"/>
          <w:sz w:val="32"/>
          <w:szCs w:val="32"/>
          <w:lang w:val="en-US" w:eastAsia="zh-CN"/>
        </w:rPr>
        <w:t>；无其它报告事项</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宋体" w:eastAsia="仿宋_GB2312" w:cs="Times New Roman"/>
          <w:snapToGrid/>
          <w:kern w:val="2"/>
          <w:sz w:val="32"/>
          <w:szCs w:val="32"/>
          <w:lang w:val="en-US" w:eastAsia="zh-CN"/>
        </w:rPr>
      </w:pPr>
      <w:r>
        <w:rPr>
          <w:rFonts w:hint="eastAsia" w:ascii="仿宋_GB2312" w:hAnsi="宋体" w:eastAsia="仿宋_GB2312" w:cs="Times New Roman"/>
          <w:snapToGrid/>
          <w:kern w:val="2"/>
          <w:sz w:val="32"/>
          <w:szCs w:val="32"/>
          <w:lang w:val="en-US" w:eastAsia="zh-CN"/>
        </w:rPr>
        <w:t xml:space="preserve">                          固阳县交通运输局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宋体" w:eastAsia="仿宋_GB2312" w:cs="Times New Roman"/>
          <w:snapToGrid/>
          <w:kern w:val="2"/>
          <w:sz w:val="32"/>
          <w:szCs w:val="32"/>
          <w:lang w:val="en-US" w:eastAsia="zh-CN"/>
        </w:rPr>
      </w:pPr>
      <w:r>
        <w:rPr>
          <w:rFonts w:hint="eastAsia" w:ascii="仿宋_GB2312" w:hAnsi="宋体" w:eastAsia="仿宋_GB2312" w:cs="Times New Roman"/>
          <w:snapToGrid/>
          <w:kern w:val="2"/>
          <w:sz w:val="32"/>
          <w:szCs w:val="32"/>
          <w:lang w:val="en-US" w:eastAsia="zh-CN"/>
        </w:rPr>
        <w:t xml:space="preserve">                          2024年1月13日</w:t>
      </w:r>
    </w:p>
    <w:sectPr>
      <w:footerReference r:id="rId5" w:type="default"/>
      <w:pgSz w:w="11410" w:h="17030"/>
      <w:pgMar w:top="1447" w:right="1274" w:bottom="1936" w:left="1634" w:header="0" w:footer="16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85"/>
      <w:rPr>
        <w:rFonts w:ascii="宋体" w:hAnsi="宋体" w:eastAsia="宋体" w:cs="宋体"/>
        <w:sz w:val="28"/>
        <w:szCs w:val="28"/>
      </w:rPr>
    </w:pPr>
    <w:r>
      <w:rPr>
        <w:rFonts w:ascii="宋体" w:hAnsi="宋体" w:eastAsia="宋体" w:cs="宋体"/>
        <w:spacing w:val="-3"/>
        <w:sz w:val="28"/>
        <w:szCs w:val="2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890A9"/>
    <w:multiLevelType w:val="singleLevel"/>
    <w:tmpl w:val="91D890A9"/>
    <w:lvl w:ilvl="0" w:tentative="0">
      <w:start w:val="1"/>
      <w:numFmt w:val="chineseCounting"/>
      <w:suff w:val="nothing"/>
      <w:lvlText w:val="%1、"/>
      <w:lvlJc w:val="left"/>
      <w:rPr>
        <w:rFonts w:hint="eastAsia"/>
      </w:rPr>
    </w:lvl>
  </w:abstractNum>
  <w:abstractNum w:abstractNumId="1">
    <w:nsid w:val="C5C9BED1"/>
    <w:multiLevelType w:val="singleLevel"/>
    <w:tmpl w:val="C5C9BED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5B5B8D"/>
    <w:rsid w:val="15D3148B"/>
    <w:rsid w:val="1FB0418D"/>
    <w:rsid w:val="272E60D9"/>
    <w:rsid w:val="32DF7A6C"/>
    <w:rsid w:val="3B9E0B15"/>
    <w:rsid w:val="3DD97EBC"/>
    <w:rsid w:val="40E349BF"/>
    <w:rsid w:val="491C69C9"/>
    <w:rsid w:val="4F7D3DD8"/>
    <w:rsid w:val="54332825"/>
    <w:rsid w:val="571A1F31"/>
    <w:rsid w:val="5B862D36"/>
    <w:rsid w:val="60411174"/>
    <w:rsid w:val="669574AB"/>
    <w:rsid w:val="7BC350D3"/>
    <w:rsid w:val="BFEB0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qFormat/>
    <w:uiPriority w:val="0"/>
    <w:rPr>
      <w:color w:val="333333"/>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character" w:customStyle="1" w:styleId="10">
    <w:name w:val="llcs"/>
    <w:basedOn w:val="5"/>
    <w:uiPriority w:val="0"/>
    <w:rPr>
      <w:vanish/>
    </w:rPr>
  </w:style>
  <w:style w:type="character" w:customStyle="1" w:styleId="11">
    <w:name w:val="article-icon"/>
    <w:basedOn w:val="5"/>
    <w:qFormat/>
    <w:uiPriority w:val="0"/>
  </w:style>
  <w:style w:type="character" w:customStyle="1" w:styleId="12">
    <w:name w:val="hover16"/>
    <w:basedOn w:val="5"/>
    <w:qFormat/>
    <w:uiPriority w:val="0"/>
    <w:rPr>
      <w:shd w:val="clear" w:fill="929292"/>
    </w:rPr>
  </w:style>
  <w:style w:type="character" w:customStyle="1" w:styleId="13">
    <w:name w:val="first-child1"/>
    <w:basedOn w:val="5"/>
    <w:qFormat/>
    <w:uiPriority w:val="0"/>
  </w:style>
  <w:style w:type="character" w:customStyle="1" w:styleId="14">
    <w:name w:val="layui-this"/>
    <w:basedOn w:val="5"/>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1584</Words>
  <Characters>1628</Characters>
  <TotalTime>8</TotalTime>
  <ScaleCrop>false</ScaleCrop>
  <LinksUpToDate>false</LinksUpToDate>
  <CharactersWithSpaces>1629</CharactersWithSpaces>
  <Application>WPS Office_12.8.2.17001_F1E327BC-269C-435d-A152-05C5408002CA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2024-01-17T08:59:00Z</dcterms:created>
  <dc:creator>Kingsoft-PDF</dc:creator>
  <cp:lastModifiedBy>流浪</cp:lastModifiedBy>
  <cp:lastPrinted>2025-01-14T17:48:00Z</cp:lastPrinted>
  <dcterms:modified xsi:type="dcterms:W3CDTF">2025-01-15T17:02:41Z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2024-01-16T16:59:04Z</vt:filetime>
  </property>
  <property fmtid="{D5CDD505-2E9C-101B-9397-08002B2CF9AE}" pid="4" name="UsrData">
    <vt:lpwstr>65a64554f23622001fa49eaewl</vt:lpwstr>
  </property>
  <property fmtid="{D5CDD505-2E9C-101B-9397-08002B2CF9AE}" pid="5" name="KSOProductBuildVer">
    <vt:lpwstr>2052-12.8.2.17001</vt:lpwstr>
  </property>
  <property fmtid="{D5CDD505-2E9C-101B-9397-08002B2CF9AE}" pid="6" name="ICV">
    <vt:lpwstr>67C83FB399D64B3982F096486A170FAB</vt:lpwstr>
  </property>
  <property fmtid="{D5CDD505-2E9C-101B-9397-08002B2CF9AE}" pid="7" name="KSOTemplateDocerSaveRecord">
    <vt:lpwstr>eyJoZGlkIjoiZDk5ZjFjZGU5MTlhODY5ZDI1MTk1MmYwYzA5NzYwM2YiLCJ1c2VySWQiOiIzODY0NjEwMjEifQ==</vt:lpwstr>
  </property>
</Properties>
</file>