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固阳县</w:t>
      </w:r>
      <w:r>
        <w:rPr>
          <w:rFonts w:hint="eastAsia" w:ascii="方正小标宋简体" w:hAnsi="方正小标宋简体" w:eastAsia="方正小标宋简体" w:cs="方正小标宋简体"/>
          <w:sz w:val="44"/>
          <w:szCs w:val="44"/>
        </w:rPr>
        <w:t>西斗铺镇</w:t>
      </w:r>
      <w:r>
        <w:rPr>
          <w:rFonts w:hint="eastAsia" w:ascii="方正小标宋简体" w:hAnsi="方正小标宋简体" w:eastAsia="方正小标宋简体" w:cs="方正小标宋简体"/>
          <w:sz w:val="44"/>
          <w:szCs w:val="44"/>
          <w:lang w:eastAsia="zh-CN"/>
        </w:rPr>
        <w:t>人民政府</w:t>
      </w:r>
      <w:r>
        <w:rPr>
          <w:rFonts w:hint="eastAsia" w:ascii="方正小标宋简体" w:hAnsi="方正小标宋简体" w:eastAsia="方正小标宋简体" w:cs="方正小标宋简体"/>
          <w:sz w:val="44"/>
          <w:szCs w:val="44"/>
        </w:rPr>
        <w:t>2024年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_GB2312" w:hAnsi="Arial" w:eastAsia="仿宋_GB2312" w:cs="仿宋_GB2312"/>
          <w:i w:val="0"/>
          <w:iCs w:val="0"/>
          <w:caps w:val="0"/>
          <w:color w:val="333333"/>
          <w:spacing w:val="0"/>
          <w:kern w:val="0"/>
          <w:sz w:val="32"/>
          <w:szCs w:val="32"/>
          <w:lang w:val="en-US" w:eastAsia="zh-CN" w:bidi="ar"/>
        </w:rPr>
        <w:t>2024年我镇深入贯彻落实《中华人民共</w:t>
      </w:r>
      <w:bookmarkStart w:id="0" w:name="_GoBack"/>
      <w:bookmarkEnd w:id="0"/>
      <w:r>
        <w:rPr>
          <w:rFonts w:hint="eastAsia" w:ascii="仿宋_GB2312" w:hAnsi="Arial" w:eastAsia="仿宋_GB2312" w:cs="仿宋_GB2312"/>
          <w:i w:val="0"/>
          <w:iCs w:val="0"/>
          <w:caps w:val="0"/>
          <w:color w:val="333333"/>
          <w:spacing w:val="0"/>
          <w:kern w:val="0"/>
          <w:sz w:val="32"/>
          <w:szCs w:val="32"/>
          <w:lang w:val="en-US" w:eastAsia="zh-CN" w:bidi="ar"/>
        </w:rPr>
        <w:t>和国政府信息公开条例》和《国务院办公厅政府信息与政府公开办公室关于印发中华人民共和国政府信息公开工作年度报告格式的通知》文件要求及上级相关工作工作部署，不断完善制度，规范公开内容，政府信息公开工作整体运行流畅，政府该信息公开各项工作均顺利开展，在密切政府与群众联系、促进依法行政，建设服务型政府等方面发挥了积极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（一）主动公开情况</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2024年西斗铺镇政府信息公开工作紧紧围绕镇党委、政府中心工作，截至2024年底，主动公开信息235条。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（二）依申请公开情况</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2024年我镇未收到信息公开申请，未提供申请政府公开信息。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（三）政府信息管理情况</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我镇成立工作领导小组，党委书记任组长、各分管副镇长任副组长、各部门为信息报送员。全面负责信息材料收集、整理审核和上传工作，切实落实到具体部门、具体个人，为政府信息公开工作奠定坚实基础。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（四）政府信息公开平台建设情况</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我镇依托固阳县政务公开平台，坚持定期公开，确保政府信息公开平台及时更新。不断拓宽平台覆盖面，方便人民群众查询政府信息，提高工作透明度，充分满足人民群众知情权。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（五）监督保障情况</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一是完善信息发布流程，严格按照相关制度发布信息。对外公开的每一条信息均由相关负责人编辑、分管负责人把关。二是加强领导，强化考核督查，由镇纪委负责对信息公开工作的监督和检查，构建政府信息公开工作制度体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主动公开政府信息情况</w:t>
      </w:r>
    </w:p>
    <w:tbl>
      <w:tblPr>
        <w:tblStyle w:val="6"/>
        <w:tblW w:w="86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2"/>
        <w:gridCol w:w="2054"/>
        <w:gridCol w:w="2112"/>
        <w:gridCol w:w="2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8696" w:type="dxa"/>
            <w:gridSpan w:val="4"/>
            <w:shd w:val="clear" w:color="auto" w:fill="C6D9F1"/>
            <w:vAlign w:val="top"/>
          </w:tcPr>
          <w:p>
            <w:pPr>
              <w:pStyle w:val="7"/>
              <w:spacing w:before="70"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602" w:type="dxa"/>
            <w:vAlign w:val="top"/>
          </w:tcPr>
          <w:p>
            <w:pPr>
              <w:pStyle w:val="7"/>
              <w:spacing w:before="66" w:line="219" w:lineRule="auto"/>
              <w:ind w:left="534"/>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信息内容</w:t>
            </w:r>
          </w:p>
        </w:tc>
        <w:tc>
          <w:tcPr>
            <w:tcW w:w="2054" w:type="dxa"/>
            <w:vAlign w:val="top"/>
          </w:tcPr>
          <w:p>
            <w:pPr>
              <w:pStyle w:val="7"/>
              <w:spacing w:before="65" w:line="219" w:lineRule="auto"/>
              <w:ind w:left="422"/>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本年制发件数</w:t>
            </w:r>
          </w:p>
        </w:tc>
        <w:tc>
          <w:tcPr>
            <w:tcW w:w="2112" w:type="dxa"/>
            <w:vAlign w:val="top"/>
          </w:tcPr>
          <w:p>
            <w:pPr>
              <w:pStyle w:val="7"/>
              <w:spacing w:before="65" w:line="219" w:lineRule="auto"/>
              <w:ind w:left="405"/>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本年废止件数</w:t>
            </w:r>
          </w:p>
        </w:tc>
        <w:tc>
          <w:tcPr>
            <w:tcW w:w="2928" w:type="dxa"/>
            <w:vAlign w:val="top"/>
          </w:tcPr>
          <w:p>
            <w:pPr>
              <w:pStyle w:val="7"/>
              <w:spacing w:before="66" w:line="219" w:lineRule="auto"/>
              <w:ind w:left="437"/>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602" w:type="dxa"/>
            <w:vAlign w:val="top"/>
          </w:tcPr>
          <w:p>
            <w:pPr>
              <w:pStyle w:val="7"/>
              <w:spacing w:before="66" w:line="219" w:lineRule="auto"/>
              <w:ind w:left="14"/>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规章</w:t>
            </w:r>
          </w:p>
        </w:tc>
        <w:tc>
          <w:tcPr>
            <w:tcW w:w="2054" w:type="dxa"/>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c>
          <w:tcPr>
            <w:tcW w:w="2112" w:type="dxa"/>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c>
          <w:tcPr>
            <w:tcW w:w="2928" w:type="dxa"/>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1602" w:type="dxa"/>
            <w:vAlign w:val="top"/>
          </w:tcPr>
          <w:p>
            <w:pPr>
              <w:pStyle w:val="7"/>
              <w:spacing w:before="68" w:line="219" w:lineRule="auto"/>
              <w:ind w:left="14"/>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行政规范性文件</w:t>
            </w:r>
          </w:p>
        </w:tc>
        <w:tc>
          <w:tcPr>
            <w:tcW w:w="2054" w:type="dxa"/>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c>
          <w:tcPr>
            <w:tcW w:w="2112" w:type="dxa"/>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c>
          <w:tcPr>
            <w:tcW w:w="2928" w:type="dxa"/>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696" w:type="dxa"/>
            <w:gridSpan w:val="4"/>
            <w:shd w:val="clear" w:color="auto" w:fill="C6D9F1"/>
            <w:vAlign w:val="top"/>
          </w:tcPr>
          <w:p>
            <w:pPr>
              <w:pStyle w:val="7"/>
              <w:spacing w:before="69"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2D69"/>
                <w:spacing w:val="-1"/>
                <w:sz w:val="24"/>
                <w:szCs w:val="24"/>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2" w:type="dxa"/>
            <w:vAlign w:val="top"/>
          </w:tcPr>
          <w:p>
            <w:pPr>
              <w:pStyle w:val="7"/>
              <w:spacing w:before="70"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信息内容</w:t>
            </w:r>
          </w:p>
        </w:tc>
        <w:tc>
          <w:tcPr>
            <w:tcW w:w="7094" w:type="dxa"/>
            <w:gridSpan w:val="3"/>
            <w:vAlign w:val="top"/>
          </w:tcPr>
          <w:p>
            <w:pPr>
              <w:pStyle w:val="7"/>
              <w:spacing w:before="69"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602" w:type="dxa"/>
            <w:vAlign w:val="top"/>
          </w:tcPr>
          <w:p>
            <w:pPr>
              <w:pStyle w:val="7"/>
              <w:spacing w:before="71" w:line="220" w:lineRule="auto"/>
              <w:ind w:left="14"/>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行政许可</w:t>
            </w:r>
          </w:p>
        </w:tc>
        <w:tc>
          <w:tcPr>
            <w:tcW w:w="7094" w:type="dxa"/>
            <w:gridSpan w:val="3"/>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696" w:type="dxa"/>
            <w:gridSpan w:val="4"/>
            <w:shd w:val="clear" w:color="auto" w:fill="C6D9F1"/>
            <w:vAlign w:val="top"/>
          </w:tcPr>
          <w:p>
            <w:pPr>
              <w:pStyle w:val="7"/>
              <w:spacing w:before="71"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2855"/>
                <w:spacing w:val="-1"/>
                <w:sz w:val="24"/>
                <w:szCs w:val="24"/>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02" w:type="dxa"/>
            <w:vAlign w:val="top"/>
          </w:tcPr>
          <w:p>
            <w:pPr>
              <w:pStyle w:val="7"/>
              <w:spacing w:before="82"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信息内容</w:t>
            </w:r>
          </w:p>
        </w:tc>
        <w:tc>
          <w:tcPr>
            <w:tcW w:w="7094" w:type="dxa"/>
            <w:gridSpan w:val="3"/>
            <w:vAlign w:val="top"/>
          </w:tcPr>
          <w:p>
            <w:pPr>
              <w:pStyle w:val="7"/>
              <w:spacing w:before="81"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02" w:type="dxa"/>
            <w:vAlign w:val="top"/>
          </w:tcPr>
          <w:p>
            <w:pPr>
              <w:pStyle w:val="7"/>
              <w:spacing w:before="74" w:line="220" w:lineRule="auto"/>
              <w:ind w:left="14"/>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行政处罚</w:t>
            </w:r>
          </w:p>
        </w:tc>
        <w:tc>
          <w:tcPr>
            <w:tcW w:w="7094" w:type="dxa"/>
            <w:gridSpan w:val="3"/>
            <w:vAlign w:val="top"/>
          </w:tcPr>
          <w:p>
            <w:pPr>
              <w:jc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02" w:type="dxa"/>
            <w:vAlign w:val="top"/>
          </w:tcPr>
          <w:p>
            <w:pPr>
              <w:pStyle w:val="7"/>
              <w:spacing w:before="74" w:line="220" w:lineRule="auto"/>
              <w:ind w:left="14"/>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行政强制</w:t>
            </w:r>
          </w:p>
        </w:tc>
        <w:tc>
          <w:tcPr>
            <w:tcW w:w="7094" w:type="dxa"/>
            <w:gridSpan w:val="3"/>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696" w:type="dxa"/>
            <w:gridSpan w:val="4"/>
            <w:shd w:val="clear" w:color="auto" w:fill="C6D9F1"/>
            <w:vAlign w:val="top"/>
          </w:tcPr>
          <w:p>
            <w:pPr>
              <w:pStyle w:val="7"/>
              <w:spacing w:before="73"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2555"/>
                <w:spacing w:val="-1"/>
                <w:sz w:val="24"/>
                <w:szCs w:val="24"/>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2" w:type="dxa"/>
            <w:vAlign w:val="top"/>
          </w:tcPr>
          <w:p>
            <w:pPr>
              <w:pStyle w:val="7"/>
              <w:spacing w:before="74"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信息内容</w:t>
            </w:r>
          </w:p>
        </w:tc>
        <w:tc>
          <w:tcPr>
            <w:tcW w:w="7094" w:type="dxa"/>
            <w:gridSpan w:val="3"/>
            <w:vAlign w:val="top"/>
          </w:tcPr>
          <w:p>
            <w:pPr>
              <w:pStyle w:val="7"/>
              <w:spacing w:before="73" w:line="219"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602" w:type="dxa"/>
            <w:vAlign w:val="top"/>
          </w:tcPr>
          <w:p>
            <w:pPr>
              <w:pStyle w:val="7"/>
              <w:spacing w:before="74" w:line="219" w:lineRule="auto"/>
              <w:ind w:left="14"/>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1"/>
                <w:sz w:val="24"/>
                <w:szCs w:val="24"/>
              </w:rPr>
              <w:t>行政事业性收费</w:t>
            </w:r>
          </w:p>
        </w:tc>
        <w:tc>
          <w:tcPr>
            <w:tcW w:w="7094" w:type="dxa"/>
            <w:gridSpan w:val="3"/>
            <w:vAlign w:val="top"/>
          </w:tcPr>
          <w:p>
            <w:pPr>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0</w:t>
            </w:r>
          </w:p>
        </w:tc>
      </w:tr>
    </w:tbl>
    <w:p>
      <w:pPr>
        <w:keepNext w:val="0"/>
        <w:keepLines w:val="0"/>
        <w:pageBreakBefore w:val="0"/>
        <w:tabs>
          <w:tab w:val="left" w:pos="553"/>
        </w:tabs>
        <w:kinsoku/>
        <w:wordWrap/>
        <w:overflowPunct/>
        <w:topLinePunct w:val="0"/>
        <w:autoSpaceDE/>
        <w:autoSpaceDN/>
        <w:bidi w:val="0"/>
        <w:adjustRightInd/>
        <w:snapToGrid/>
        <w:spacing w:before="104" w:afterAutospacing="0" w:line="578" w:lineRule="exact"/>
        <w:ind w:firstLine="640" w:firstLineChars="200"/>
        <w:textAlignment w:val="auto"/>
        <w:outlineLvl w:val="0"/>
        <w:rPr>
          <w:rFonts w:hint="eastAsia" w:ascii="方正仿宋_GB2312" w:hAnsi="方正仿宋_GB2312" w:eastAsia="方正仿宋_GB2312" w:cs="方正仿宋_GB2312"/>
          <w:sz w:val="32"/>
          <w:szCs w:val="32"/>
        </w:rPr>
      </w:pPr>
      <w:r>
        <w:rPr>
          <w:rFonts w:hint="eastAsia" w:ascii="黑体" w:hAnsi="黑体" w:eastAsia="黑体" w:cs="黑体"/>
          <w:kern w:val="2"/>
          <w:sz w:val="32"/>
          <w:szCs w:val="32"/>
          <w:lang w:val="en-US" w:eastAsia="zh-CN" w:bidi="ar-SA"/>
        </w:rPr>
        <w:t>三、收到和处理政府信息公开申请情况</w:t>
      </w:r>
    </w:p>
    <w:p>
      <w:pPr>
        <w:spacing w:line="73" w:lineRule="exact"/>
      </w:pPr>
    </w:p>
    <w:tbl>
      <w:tblPr>
        <w:tblStyle w:val="6"/>
        <w:tblW w:w="8772"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408"/>
        <w:gridCol w:w="2304"/>
        <w:gridCol w:w="660"/>
        <w:gridCol w:w="552"/>
        <w:gridCol w:w="708"/>
        <w:gridCol w:w="816"/>
        <w:gridCol w:w="720"/>
        <w:gridCol w:w="888"/>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3336" w:type="dxa"/>
            <w:gridSpan w:val="3"/>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(本列数据的勾稻关系为：第一项加第二项之和， 等于第三项加第四项之和)</w:t>
            </w:r>
          </w:p>
        </w:tc>
        <w:tc>
          <w:tcPr>
            <w:tcW w:w="5436" w:type="dxa"/>
            <w:gridSpan w:val="7"/>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36" w:type="dxa"/>
            <w:gridSpan w:val="3"/>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660"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自然</w:t>
            </w: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人</w:t>
            </w:r>
          </w:p>
        </w:tc>
        <w:tc>
          <w:tcPr>
            <w:tcW w:w="3684" w:type="dxa"/>
            <w:gridSpan w:val="5"/>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法人或其他组织</w:t>
            </w:r>
          </w:p>
        </w:tc>
        <w:tc>
          <w:tcPr>
            <w:tcW w:w="1092"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3336" w:type="dxa"/>
            <w:gridSpan w:val="3"/>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660"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商业 企业</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科研 机构</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社会 公益 组织</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法律 服务 机构</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其他</w:t>
            </w:r>
          </w:p>
        </w:tc>
        <w:tc>
          <w:tcPr>
            <w:tcW w:w="1092"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3336" w:type="dxa"/>
            <w:gridSpan w:val="3"/>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一、本年新收政府信息公开申请数量</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tabs>
                <w:tab w:val="left" w:pos="379"/>
              </w:tabs>
              <w:spacing w:before="82" w:line="219" w:lineRule="auto"/>
              <w:jc w:val="left"/>
              <w:rPr>
                <w:rFonts w:hint="default"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eastAsia="zh-CN"/>
              </w:rPr>
              <w:tab/>
            </w: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36" w:type="dxa"/>
            <w:gridSpan w:val="3"/>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二、上年结转政府信息公开申请数量</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三、本 年度办 理结果</w:t>
            </w:r>
          </w:p>
        </w:tc>
        <w:tc>
          <w:tcPr>
            <w:tcW w:w="2712" w:type="dxa"/>
            <w:gridSpan w:val="2"/>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(-)予以公开</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712" w:type="dxa"/>
            <w:gridSpan w:val="2"/>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(二)部分公开(区分处理的，只计这一 情形，不计其他情形)</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(三)不 予公开</w:t>
            </w: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1.属于国家秘密</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2.其他法律行政法规禁止公开</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3.危及“三安全一稳定”</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4.保护第三方合法权益</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5.属于三类内部事务信息</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6.属于四类过程性信息</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7.属于行政执法案卷</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8.属于行政查询事项</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(四)无 法提供</w:t>
            </w: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1.本机关不掌握相关政府信息</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2.没有现成信息需要另行制作</w:t>
            </w:r>
          </w:p>
        </w:tc>
        <w:tc>
          <w:tcPr>
            <w:tcW w:w="660" w:type="dxa"/>
            <w:vAlign w:val="top"/>
          </w:tcPr>
          <w:p>
            <w:pPr>
              <w:pStyle w:val="7"/>
              <w:spacing w:before="82" w:line="219" w:lineRule="auto"/>
              <w:jc w:val="center"/>
              <w:rPr>
                <w:rFonts w:hint="default"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3.补正后申请内容仍不明确</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(五)不 予处理</w:t>
            </w: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1.信访举报投诉类申请</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2.重复申请</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default"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3.要求提供公开出版物</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4.无正当理由大量反复申请</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default"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5.要求行政机关确认或重新出具已获取信息</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(六)其 他处理</w:t>
            </w: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1.申请人无正当理由逾期不补正、行政机关不再处理其政府信息公开申请</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2.申请人逾期未按收费通知要求缴纳费用、行政机关不</w:t>
            </w:r>
            <w:r>
              <w:rPr>
                <w:rFonts w:hint="eastAsia" w:ascii="方正仿宋_GB2312" w:hAnsi="方正仿宋_GB2312" w:eastAsia="方正仿宋_GB2312" w:cs="方正仿宋_GB2312"/>
                <w:spacing w:val="-2"/>
                <w:sz w:val="24"/>
                <w:szCs w:val="24"/>
                <w:lang w:eastAsia="zh-CN"/>
              </w:rPr>
              <w:t>再</w:t>
            </w:r>
            <w:r>
              <w:rPr>
                <w:rFonts w:hint="eastAsia" w:ascii="方正仿宋_GB2312" w:hAnsi="方正仿宋_GB2312" w:eastAsia="方正仿宋_GB2312" w:cs="方正仿宋_GB2312"/>
                <w:spacing w:val="-2"/>
                <w:sz w:val="24"/>
                <w:szCs w:val="24"/>
              </w:rPr>
              <w:t>处理其政府信息公开申请</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408"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30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3.其他</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624"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2712" w:type="dxa"/>
            <w:gridSpan w:val="2"/>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(七)总计</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default"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336" w:type="dxa"/>
            <w:gridSpan w:val="3"/>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四、结转下年度继续办理</w:t>
            </w:r>
          </w:p>
        </w:tc>
        <w:tc>
          <w:tcPr>
            <w:tcW w:w="66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0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720"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88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c>
          <w:tcPr>
            <w:tcW w:w="109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lang w:val="en-US" w:eastAsia="zh-CN"/>
              </w:rPr>
            </w:pPr>
            <w:r>
              <w:rPr>
                <w:rFonts w:hint="eastAsia" w:ascii="方正仿宋_GB2312" w:hAnsi="方正仿宋_GB2312" w:eastAsia="方正仿宋_GB2312" w:cs="方正仿宋_GB2312"/>
                <w:spacing w:val="-2"/>
                <w:sz w:val="24"/>
                <w:szCs w:val="24"/>
                <w:lang w:val="en-US" w:eastAsia="zh-CN"/>
              </w:rPr>
              <w:t>0</w:t>
            </w:r>
          </w:p>
        </w:tc>
      </w:tr>
    </w:tbl>
    <w:p>
      <w:pPr>
        <w:spacing w:line="103" w:lineRule="exact"/>
        <w:rPr>
          <w:rFonts w:ascii="Arial"/>
          <w:sz w:val="9"/>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Autospacing="0" w:line="578" w:lineRule="exact"/>
        <w:ind w:firstLine="640" w:firstLineChars="200"/>
        <w:jc w:val="left"/>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四、政府信息公开行政复议、行政诉讼情况</w:t>
      </w:r>
    </w:p>
    <w:tbl>
      <w:tblPr>
        <w:tblStyle w:val="6"/>
        <w:tblW w:w="86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588"/>
        <w:gridCol w:w="624"/>
        <w:gridCol w:w="600"/>
        <w:gridCol w:w="624"/>
        <w:gridCol w:w="516"/>
        <w:gridCol w:w="564"/>
        <w:gridCol w:w="516"/>
        <w:gridCol w:w="528"/>
        <w:gridCol w:w="552"/>
        <w:gridCol w:w="576"/>
        <w:gridCol w:w="528"/>
        <w:gridCol w:w="612"/>
        <w:gridCol w:w="636"/>
        <w:gridCol w:w="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3056" w:type="dxa"/>
            <w:gridSpan w:val="5"/>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行政复议</w:t>
            </w:r>
          </w:p>
        </w:tc>
        <w:tc>
          <w:tcPr>
            <w:tcW w:w="5640" w:type="dxa"/>
            <w:gridSpan w:val="10"/>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620"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结果 维持</w:t>
            </w:r>
          </w:p>
        </w:tc>
        <w:tc>
          <w:tcPr>
            <w:tcW w:w="588"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结果 纠正</w:t>
            </w:r>
          </w:p>
        </w:tc>
        <w:tc>
          <w:tcPr>
            <w:tcW w:w="624"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其他 结果</w:t>
            </w:r>
          </w:p>
        </w:tc>
        <w:tc>
          <w:tcPr>
            <w:tcW w:w="600"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尚未 审结</w:t>
            </w:r>
          </w:p>
        </w:tc>
        <w:tc>
          <w:tcPr>
            <w:tcW w:w="624" w:type="dxa"/>
            <w:vMerge w:val="restart"/>
            <w:tcBorders>
              <w:bottom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总计</w:t>
            </w:r>
          </w:p>
        </w:tc>
        <w:tc>
          <w:tcPr>
            <w:tcW w:w="2676" w:type="dxa"/>
            <w:gridSpan w:val="5"/>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未经复议直接起诉</w:t>
            </w:r>
          </w:p>
        </w:tc>
        <w:tc>
          <w:tcPr>
            <w:tcW w:w="2964" w:type="dxa"/>
            <w:gridSpan w:val="5"/>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20"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588"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624"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600"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624" w:type="dxa"/>
            <w:vMerge w:val="continue"/>
            <w:tcBorders>
              <w:top w:val="nil"/>
            </w:tcBorders>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p>
        </w:tc>
        <w:tc>
          <w:tcPr>
            <w:tcW w:w="5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结果 维持</w:t>
            </w:r>
          </w:p>
        </w:tc>
        <w:tc>
          <w:tcPr>
            <w:tcW w:w="564"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结果 纠正</w:t>
            </w:r>
          </w:p>
        </w:tc>
        <w:tc>
          <w:tcPr>
            <w:tcW w:w="51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其他 结果</w:t>
            </w:r>
          </w:p>
        </w:tc>
        <w:tc>
          <w:tcPr>
            <w:tcW w:w="52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尚未 审结</w:t>
            </w:r>
          </w:p>
        </w:tc>
        <w:tc>
          <w:tcPr>
            <w:tcW w:w="55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总计</w:t>
            </w:r>
          </w:p>
        </w:tc>
        <w:tc>
          <w:tcPr>
            <w:tcW w:w="57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结果 维持</w:t>
            </w:r>
          </w:p>
        </w:tc>
        <w:tc>
          <w:tcPr>
            <w:tcW w:w="528"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结果 纠正</w:t>
            </w:r>
          </w:p>
        </w:tc>
        <w:tc>
          <w:tcPr>
            <w:tcW w:w="61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其他 结果</w:t>
            </w:r>
          </w:p>
        </w:tc>
        <w:tc>
          <w:tcPr>
            <w:tcW w:w="636"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尚未 审结</w:t>
            </w:r>
          </w:p>
        </w:tc>
        <w:tc>
          <w:tcPr>
            <w:tcW w:w="612" w:type="dxa"/>
            <w:vAlign w:val="top"/>
          </w:tcPr>
          <w:p>
            <w:pPr>
              <w:pStyle w:val="7"/>
              <w:spacing w:before="82" w:line="219" w:lineRule="auto"/>
              <w:jc w:val="center"/>
              <w:rPr>
                <w:rFonts w:hint="eastAsia" w:ascii="方正仿宋_GB2312" w:hAnsi="方正仿宋_GB2312" w:eastAsia="方正仿宋_GB2312" w:cs="方正仿宋_GB2312"/>
                <w:spacing w:val="-2"/>
                <w:sz w:val="24"/>
                <w:szCs w:val="24"/>
              </w:rPr>
            </w:pPr>
            <w:r>
              <w:rPr>
                <w:rFonts w:hint="eastAsia" w:ascii="方正仿宋_GB2312" w:hAnsi="方正仿宋_GB2312" w:eastAsia="方正仿宋_GB2312" w:cs="方正仿宋_GB2312"/>
                <w:spacing w:val="-2"/>
                <w:sz w:val="24"/>
                <w:szCs w:val="24"/>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620"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88"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624"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600"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624"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16"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64"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16"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28"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52"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76"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528"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612"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636"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c>
          <w:tcPr>
            <w:tcW w:w="612" w:type="dxa"/>
            <w:vAlign w:val="top"/>
          </w:tcPr>
          <w:p>
            <w:pPr>
              <w:jc w:val="center"/>
              <w:rPr>
                <w:rFonts w:hint="eastAsia" w:ascii="方正仿宋_GB2312" w:hAnsi="方正仿宋_GB2312" w:eastAsia="方正仿宋_GB2312" w:cs="方正仿宋_GB2312"/>
                <w:spacing w:val="-2"/>
                <w:kern w:val="2"/>
                <w:sz w:val="24"/>
                <w:szCs w:val="24"/>
                <w:lang w:val="en-US" w:eastAsia="zh-CN" w:bidi="ar-SA"/>
              </w:rPr>
            </w:pPr>
            <w:r>
              <w:rPr>
                <w:rFonts w:hint="eastAsia" w:ascii="方正仿宋_GB2312" w:hAnsi="方正仿宋_GB2312" w:eastAsia="方正仿宋_GB2312" w:cs="方正仿宋_GB2312"/>
                <w:spacing w:val="-2"/>
                <w:kern w:val="2"/>
                <w:sz w:val="24"/>
                <w:szCs w:val="24"/>
                <w:lang w:val="en-US" w:eastAsia="zh-CN" w:bidi="ar-SA"/>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Autospacing="0" w:line="578"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五、存在的主要问题及改进情况</w:t>
      </w:r>
    </w:p>
    <w:p>
      <w:pPr>
        <w:keepNext w:val="0"/>
        <w:keepLines w:val="0"/>
        <w:pageBreakBefore w:val="0"/>
        <w:kinsoku/>
        <w:wordWrap/>
        <w:overflowPunct/>
        <w:topLinePunct w:val="0"/>
        <w:autoSpaceDE/>
        <w:autoSpaceDN/>
        <w:bidi w:val="0"/>
        <w:adjustRightInd/>
        <w:snapToGrid/>
        <w:spacing w:afterAutospacing="0" w:line="578" w:lineRule="exact"/>
        <w:ind w:firstLine="643"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b/>
          <w:bCs/>
          <w:i w:val="0"/>
          <w:iCs w:val="0"/>
          <w:caps w:val="0"/>
          <w:color w:val="333333"/>
          <w:spacing w:val="0"/>
          <w:kern w:val="0"/>
          <w:sz w:val="32"/>
          <w:szCs w:val="32"/>
          <w:lang w:val="en-US" w:eastAsia="zh-CN" w:bidi="ar"/>
        </w:rPr>
        <w:t>存在的主要问题：</w:t>
      </w:r>
      <w:r>
        <w:rPr>
          <w:rFonts w:hint="eastAsia" w:ascii="仿宋_GB2312" w:hAnsi="Arial" w:eastAsia="仿宋_GB2312" w:cs="仿宋_GB2312"/>
          <w:i w:val="0"/>
          <w:iCs w:val="0"/>
          <w:caps w:val="0"/>
          <w:color w:val="333333"/>
          <w:spacing w:val="0"/>
          <w:kern w:val="0"/>
          <w:sz w:val="32"/>
          <w:szCs w:val="32"/>
          <w:lang w:val="en-US" w:eastAsia="zh-CN" w:bidi="ar"/>
        </w:rPr>
        <w:t>2024年，我镇政府信息公开工作取得了新的进展，但同时也存在一些不足，主要表现在信息发布和更新效率有待提高；主动公开政府信息的数量还需要增加，公开的内容还需要进一步细化；宣传和引导工作需要进一步加强，政府信息公开的形式还有待创新，队伍建设还有待进一步加强等等。今后，我们将采取更加有效措施积极改进信息公开工作，引导群众通过信息公开了解我镇的各项工作，主动接受群众监督。</w:t>
      </w:r>
    </w:p>
    <w:p>
      <w:pPr>
        <w:keepNext w:val="0"/>
        <w:keepLines w:val="0"/>
        <w:pageBreakBefore w:val="0"/>
        <w:kinsoku/>
        <w:wordWrap/>
        <w:overflowPunct/>
        <w:topLinePunct w:val="0"/>
        <w:autoSpaceDE/>
        <w:autoSpaceDN/>
        <w:bidi w:val="0"/>
        <w:adjustRightInd/>
        <w:snapToGrid/>
        <w:spacing w:afterAutospacing="0" w:line="578" w:lineRule="exact"/>
        <w:ind w:firstLine="643"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b/>
          <w:bCs/>
          <w:i w:val="0"/>
          <w:iCs w:val="0"/>
          <w:caps w:val="0"/>
          <w:color w:val="333333"/>
          <w:spacing w:val="0"/>
          <w:kern w:val="0"/>
          <w:sz w:val="32"/>
          <w:szCs w:val="32"/>
          <w:lang w:val="en-US" w:eastAsia="zh-CN" w:bidi="ar"/>
        </w:rPr>
        <w:t>改进措施：</w:t>
      </w:r>
      <w:r>
        <w:rPr>
          <w:rFonts w:hint="eastAsia" w:ascii="仿宋_GB2312" w:hAnsi="Arial" w:eastAsia="仿宋_GB2312" w:cs="仿宋_GB2312"/>
          <w:i w:val="0"/>
          <w:iCs w:val="0"/>
          <w:caps w:val="0"/>
          <w:color w:val="333333"/>
          <w:spacing w:val="0"/>
          <w:kern w:val="0"/>
          <w:sz w:val="32"/>
          <w:szCs w:val="32"/>
          <w:lang w:val="en-US" w:eastAsia="zh-CN" w:bidi="ar"/>
        </w:rPr>
        <w:t>一是加强业务学习，提升政务公开能力。强化政务公开工作业务培训，进一步提升队伍的思想意识和业务水平。要进一步做好新老工作对接，确保工作不脱节，确保全镇政务公开各项工作顺利有序开展；二是加强政策解读，确保政策落实落地。认真落实“三同步”原则，及时落实政策和解读公开，充分利用政府网站、报纸刊物、在线访谈等途径开展政策解读，引导领导干部带头解读政策，不断丰富解读形式，帮助公众准确把握政策精神；三是加强公开规范，加强政务公开落实。要严格按照相关规定，狠抓工作落实，做到栏目齐全，更新及时，内容充实。进一步规范信息公开工作流程，原则上要做到随生成随公开，确保及时高效全面公开应公开信息。</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六、其他需要报告的事项</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本年度未收取信息处理费，办理行政执法案件230起，收缴各类罚没款44万余元，全部上缴县财政非税账户。</w:t>
      </w:r>
    </w:p>
    <w:p>
      <w:pPr>
        <w:keepNext w:val="0"/>
        <w:keepLines w:val="0"/>
        <w:pageBreakBefore w:val="0"/>
        <w:kinsoku/>
        <w:wordWrap/>
        <w:overflowPunct/>
        <w:topLinePunct w:val="0"/>
        <w:autoSpaceDE/>
        <w:autoSpaceDN/>
        <w:bidi w:val="0"/>
        <w:adjustRightInd/>
        <w:snapToGrid/>
        <w:spacing w:afterAutospacing="0" w:line="578" w:lineRule="exact"/>
        <w:ind w:firstLine="640" w:firstLineChars="200"/>
        <w:textAlignment w:val="auto"/>
        <w:rPr>
          <w:rFonts w:hint="eastAsia" w:ascii="仿宋_GB2312" w:hAnsi="Arial" w:eastAsia="仿宋_GB2312" w:cs="仿宋_GB2312"/>
          <w:i w:val="0"/>
          <w:iCs w:val="0"/>
          <w:caps w:val="0"/>
          <w:color w:val="333333"/>
          <w:spacing w:val="0"/>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0000000000000000000"/>
    <w:charset w:val="00"/>
    <w:family w:val="auto"/>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14"/>
      <w:rPr>
        <w:rFonts w:ascii="宋体" w:hAnsi="宋体" w:eastAsia="宋体" w:cs="宋体"/>
        <w:sz w:val="29"/>
        <w:szCs w:val="29"/>
      </w:rPr>
    </w:pPr>
    <w:r>
      <w:rPr>
        <w:rFonts w:ascii="宋体" w:hAnsi="宋体" w:eastAsia="宋体" w:cs="宋体"/>
        <w:spacing w:val="-3"/>
        <w:sz w:val="29"/>
        <w:szCs w:val="29"/>
      </w:rPr>
      <w:t>—8—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A85EC"/>
    <w:multiLevelType w:val="singleLevel"/>
    <w:tmpl w:val="99DA85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mNzM2ZGE2M2I1YmVjNjZmZTliNWMzOWI1OWU1MTcifQ=="/>
  </w:docVars>
  <w:rsids>
    <w:rsidRoot w:val="00000000"/>
    <w:rsid w:val="6E51405D"/>
    <w:rsid w:val="77D3C6F2"/>
    <w:rsid w:val="87F71C71"/>
    <w:rsid w:val="BE931876"/>
    <w:rsid w:val="F7BF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TotalTime>
  <ScaleCrop>false</ScaleCrop>
  <LinksUpToDate>false</LinksUpToDate>
  <CharactersWithSpaces>0</CharactersWithSpaces>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2025-01-08T09:04:00Z</dcterms:created>
  <dc:creator>Administrator</dc:creator>
  <cp:lastModifiedBy>流浪</cp:lastModifiedBy>
  <dcterms:modified xsi:type="dcterms:W3CDTF">2025-04-21T10:58:19Z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F1B663172B2C4EEBA1D03C945274B364_12</vt:lpwstr>
  </property>
</Properties>
</file>